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7407923"/>
        <w:docPartObj>
          <w:docPartGallery w:val="Cover Pages"/>
          <w:docPartUnique/>
        </w:docPartObj>
      </w:sdtPr>
      <w:sdtContent>
        <w:p w14:paraId="1FDC640E" w14:textId="77777777" w:rsidR="006C37CA" w:rsidRDefault="006C37CA">
          <w:r>
            <w:rPr>
              <w:noProof/>
              <w:lang w:eastAsia="en-GB"/>
            </w:rPr>
            <mc:AlternateContent>
              <mc:Choice Requires="wpg">
                <w:drawing>
                  <wp:anchor distT="0" distB="0" distL="114300" distR="114300" simplePos="0" relativeHeight="251662336" behindDoc="0" locked="0" layoutInCell="1" allowOverlap="1" wp14:anchorId="0B176F7E" wp14:editId="1D1CF8F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CCDA1F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0288" behindDoc="0" locked="0" layoutInCell="1" allowOverlap="1" wp14:anchorId="7B87B414" wp14:editId="201464B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5E547DE" w14:textId="77777777" w:rsidR="006C37CA" w:rsidRDefault="006C37CA">
                                    <w:pPr>
                                      <w:pStyle w:val="NoSpacing"/>
                                      <w:jc w:val="right"/>
                                      <w:rPr>
                                        <w:color w:val="595959" w:themeColor="text1" w:themeTint="A6"/>
                                        <w:sz w:val="28"/>
                                        <w:szCs w:val="28"/>
                                      </w:rPr>
                                    </w:pPr>
                                    <w:r>
                                      <w:rPr>
                                        <w:color w:val="595959" w:themeColor="text1" w:themeTint="A6"/>
                                        <w:sz w:val="28"/>
                                        <w:szCs w:val="28"/>
                                        <w:lang w:val="en-GB"/>
                                      </w:rPr>
                                      <w:t xml:space="preserve">Name of PCC Member responsible for </w:t>
                                    </w:r>
                                    <w:r w:rsidR="00A70846">
                                      <w:rPr>
                                        <w:color w:val="595959" w:themeColor="text1" w:themeTint="A6"/>
                                        <w:sz w:val="28"/>
                                        <w:szCs w:val="28"/>
                                        <w:lang w:val="en-GB"/>
                                      </w:rPr>
                                      <w:t>treasury functions</w:t>
                                    </w:r>
                                  </w:p>
                                </w:sdtContent>
                              </w:sdt>
                              <w:p w14:paraId="3802F1CE" w14:textId="77777777" w:rsidR="006C37CA"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6C37CA">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B87B414"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5E547DE" w14:textId="77777777" w:rsidR="006C37CA" w:rsidRDefault="006C37CA">
                              <w:pPr>
                                <w:pStyle w:val="NoSpacing"/>
                                <w:jc w:val="right"/>
                                <w:rPr>
                                  <w:color w:val="595959" w:themeColor="text1" w:themeTint="A6"/>
                                  <w:sz w:val="28"/>
                                  <w:szCs w:val="28"/>
                                </w:rPr>
                              </w:pPr>
                              <w:r>
                                <w:rPr>
                                  <w:color w:val="595959" w:themeColor="text1" w:themeTint="A6"/>
                                  <w:sz w:val="28"/>
                                  <w:szCs w:val="28"/>
                                  <w:lang w:val="en-GB"/>
                                </w:rPr>
                                <w:t xml:space="preserve">Name of PCC Member responsible for </w:t>
                              </w:r>
                              <w:r w:rsidR="00A70846">
                                <w:rPr>
                                  <w:color w:val="595959" w:themeColor="text1" w:themeTint="A6"/>
                                  <w:sz w:val="28"/>
                                  <w:szCs w:val="28"/>
                                  <w:lang w:val="en-GB"/>
                                </w:rPr>
                                <w:t>treasury functions</w:t>
                              </w:r>
                            </w:p>
                          </w:sdtContent>
                        </w:sdt>
                        <w:p w14:paraId="3802F1CE" w14:textId="77777777" w:rsidR="006C37CA"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6C37CA">
                                <w:rPr>
                                  <w:color w:val="595959" w:themeColor="text1" w:themeTint="A6"/>
                                  <w:sz w:val="18"/>
                                  <w:szCs w:val="18"/>
                                </w:rPr>
                                <w:t>[Email address]</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969A211" wp14:editId="747B463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A12E1" w14:textId="77777777" w:rsidR="008E01C6" w:rsidRPr="00363640" w:rsidRDefault="006C37CA">
                                <w:pPr>
                                  <w:pStyle w:val="NoSpacing"/>
                                  <w:jc w:val="right"/>
                                  <w:rPr>
                                    <w:b/>
                                    <w:color w:val="5B9BD5" w:themeColor="accent1"/>
                                    <w:sz w:val="28"/>
                                    <w:szCs w:val="28"/>
                                  </w:rPr>
                                </w:pPr>
                                <w:r w:rsidRPr="00363640">
                                  <w:rPr>
                                    <w:b/>
                                    <w:color w:val="5B9BD5" w:themeColor="accent1"/>
                                    <w:sz w:val="28"/>
                                    <w:szCs w:val="28"/>
                                  </w:rPr>
                                  <w:t>The Parochial Church Council of the Ecclesiastical Parish of</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0C839AC9" w14:textId="77777777" w:rsidR="006C37CA" w:rsidRDefault="006C37CA">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969A211"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C4A12E1" w14:textId="77777777" w:rsidR="008E01C6" w:rsidRPr="00363640" w:rsidRDefault="006C37CA">
                          <w:pPr>
                            <w:pStyle w:val="NoSpacing"/>
                            <w:jc w:val="right"/>
                            <w:rPr>
                              <w:b/>
                              <w:color w:val="5B9BD5" w:themeColor="accent1"/>
                              <w:sz w:val="28"/>
                              <w:szCs w:val="28"/>
                            </w:rPr>
                          </w:pPr>
                          <w:r w:rsidRPr="00363640">
                            <w:rPr>
                              <w:b/>
                              <w:color w:val="5B9BD5" w:themeColor="accent1"/>
                              <w:sz w:val="28"/>
                              <w:szCs w:val="28"/>
                            </w:rPr>
                            <w:t>The Parochial Church Council of the Ecclesiastical Parish of</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0C839AC9" w14:textId="77777777" w:rsidR="006C37CA" w:rsidRDefault="006C37CA">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8424064" wp14:editId="60AD190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B005C" w14:textId="77777777" w:rsidR="006C37CA" w:rsidRDefault="00000000">
                                <w:pPr>
                                  <w:jc w:val="right"/>
                                  <w:rPr>
                                    <w:color w:val="5B9BD5" w:themeColor="accent1"/>
                                    <w:sz w:val="64"/>
                                    <w:szCs w:val="64"/>
                                  </w:rPr>
                                </w:pPr>
                                <w:sdt>
                                  <w:sdtPr>
                                    <w:rPr>
                                      <w:rFonts w:ascii="Calibri" w:eastAsia="Calibri" w:hAnsi="Calibri" w:cs="Calibri"/>
                                      <w:b/>
                                      <w:bCs/>
                                      <w:color w:val="595959" w:themeColor="text1" w:themeTint="A6"/>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3A0E51" w:rsidRPr="00363640">
                                      <w:rPr>
                                        <w:rFonts w:ascii="Calibri" w:eastAsia="Calibri" w:hAnsi="Calibri" w:cs="Calibri"/>
                                        <w:b/>
                                        <w:bCs/>
                                        <w:color w:val="595959" w:themeColor="text1" w:themeTint="A6"/>
                                        <w:sz w:val="32"/>
                                        <w:szCs w:val="32"/>
                                      </w:rPr>
                                      <w:t xml:space="preserve">Guidance for </w:t>
                                    </w:r>
                                    <w:r w:rsidR="00363640">
                                      <w:rPr>
                                        <w:rFonts w:ascii="Calibri" w:eastAsia="Calibri" w:hAnsi="Calibri" w:cs="Calibri"/>
                                        <w:b/>
                                        <w:bCs/>
                                        <w:color w:val="595959" w:themeColor="text1" w:themeTint="A6"/>
                                        <w:sz w:val="32"/>
                                        <w:szCs w:val="32"/>
                                      </w:rPr>
                                      <w:t xml:space="preserve">managing </w:t>
                                    </w:r>
                                    <w:r w:rsidR="00A70846">
                                      <w:rPr>
                                        <w:rFonts w:ascii="Calibri" w:eastAsia="Calibri" w:hAnsi="Calibri" w:cs="Calibri"/>
                                        <w:b/>
                                        <w:bCs/>
                                        <w:color w:val="595959" w:themeColor="text1" w:themeTint="A6"/>
                                        <w:sz w:val="32"/>
                                        <w:szCs w:val="32"/>
                                      </w:rPr>
                                      <w:t>financial records and accounts</w:t>
                                    </w:r>
                                  </w:sdtContent>
                                </w:sdt>
                              </w:p>
                              <w:p w14:paraId="19199C38" w14:textId="77777777" w:rsidR="006C37CA" w:rsidRDefault="006C37CA">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8424064"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380B005C" w14:textId="77777777" w:rsidR="006C37CA" w:rsidRDefault="00000000">
                          <w:pPr>
                            <w:jc w:val="right"/>
                            <w:rPr>
                              <w:color w:val="5B9BD5" w:themeColor="accent1"/>
                              <w:sz w:val="64"/>
                              <w:szCs w:val="64"/>
                            </w:rPr>
                          </w:pPr>
                          <w:sdt>
                            <w:sdtPr>
                              <w:rPr>
                                <w:rFonts w:ascii="Calibri" w:eastAsia="Calibri" w:hAnsi="Calibri" w:cs="Calibri"/>
                                <w:b/>
                                <w:bCs/>
                                <w:color w:val="595959" w:themeColor="text1" w:themeTint="A6"/>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3A0E51" w:rsidRPr="00363640">
                                <w:rPr>
                                  <w:rFonts w:ascii="Calibri" w:eastAsia="Calibri" w:hAnsi="Calibri" w:cs="Calibri"/>
                                  <w:b/>
                                  <w:bCs/>
                                  <w:color w:val="595959" w:themeColor="text1" w:themeTint="A6"/>
                                  <w:sz w:val="32"/>
                                  <w:szCs w:val="32"/>
                                </w:rPr>
                                <w:t xml:space="preserve">Guidance for </w:t>
                              </w:r>
                              <w:r w:rsidR="00363640">
                                <w:rPr>
                                  <w:rFonts w:ascii="Calibri" w:eastAsia="Calibri" w:hAnsi="Calibri" w:cs="Calibri"/>
                                  <w:b/>
                                  <w:bCs/>
                                  <w:color w:val="595959" w:themeColor="text1" w:themeTint="A6"/>
                                  <w:sz w:val="32"/>
                                  <w:szCs w:val="32"/>
                                </w:rPr>
                                <w:t xml:space="preserve">managing </w:t>
                              </w:r>
                              <w:r w:rsidR="00A70846">
                                <w:rPr>
                                  <w:rFonts w:ascii="Calibri" w:eastAsia="Calibri" w:hAnsi="Calibri" w:cs="Calibri"/>
                                  <w:b/>
                                  <w:bCs/>
                                  <w:color w:val="595959" w:themeColor="text1" w:themeTint="A6"/>
                                  <w:sz w:val="32"/>
                                  <w:szCs w:val="32"/>
                                </w:rPr>
                                <w:t>financial records and accounts</w:t>
                              </w:r>
                            </w:sdtContent>
                          </w:sdt>
                        </w:p>
                        <w:p w14:paraId="19199C38" w14:textId="77777777" w:rsidR="006C37CA" w:rsidRDefault="006C37CA">
                          <w:pPr>
                            <w:jc w:val="right"/>
                            <w:rPr>
                              <w:smallCaps/>
                              <w:color w:val="404040" w:themeColor="text1" w:themeTint="BF"/>
                              <w:sz w:val="36"/>
                              <w:szCs w:val="36"/>
                            </w:rPr>
                          </w:pPr>
                        </w:p>
                      </w:txbxContent>
                    </v:textbox>
                    <w10:wrap type="square" anchorx="page" anchory="page"/>
                  </v:shape>
                </w:pict>
              </mc:Fallback>
            </mc:AlternateContent>
          </w:r>
        </w:p>
        <w:p w14:paraId="64F740B4" w14:textId="77777777" w:rsidR="0042189F" w:rsidRDefault="006C37CA" w:rsidP="0042189F">
          <w:pPr>
            <w:spacing w:before="120" w:after="120"/>
          </w:pPr>
          <w:r>
            <w:br w:type="page"/>
          </w:r>
        </w:p>
      </w:sdtContent>
    </w:sdt>
    <w:p w14:paraId="7C7A2E80" w14:textId="77777777" w:rsidR="0042189F" w:rsidRPr="0042189F" w:rsidRDefault="0042189F" w:rsidP="0042189F">
      <w:pPr>
        <w:spacing w:before="120" w:after="120"/>
      </w:pPr>
      <w:r w:rsidRPr="00F34AAF">
        <w:rPr>
          <w:rFonts w:eastAsia="Times New Roman" w:cstheme="minorHAnsi"/>
          <w:b/>
          <w:color w:val="4472C4" w:themeColor="accent5"/>
          <w:sz w:val="28"/>
          <w:szCs w:val="28"/>
          <w:lang w:eastAsia="en-GB"/>
        </w:rPr>
        <w:lastRenderedPageBreak/>
        <w:t>Financial Records and Accounts</w:t>
      </w:r>
    </w:p>
    <w:p w14:paraId="7656E107"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1) Financial records must be kept so that:</w:t>
      </w:r>
    </w:p>
    <w:p w14:paraId="7E03C58C" w14:textId="77777777" w:rsidR="0042189F" w:rsidRPr="00F34AAF" w:rsidRDefault="0042189F" w:rsidP="00CE122A">
      <w:pPr>
        <w:pStyle w:val="ListParagraph"/>
        <w:numPr>
          <w:ilvl w:val="0"/>
          <w:numId w:val="30"/>
        </w:numPr>
        <w:spacing w:before="120" w:after="120"/>
        <w:ind w:left="714" w:hanging="357"/>
        <w:rPr>
          <w:rFonts w:eastAsia="Times New Roman" w:cstheme="minorHAnsi"/>
          <w:lang w:eastAsia="en-GB"/>
        </w:rPr>
      </w:pPr>
      <w:r w:rsidRPr="00F34AAF">
        <w:rPr>
          <w:rFonts w:eastAsia="Times New Roman" w:cstheme="minorHAnsi"/>
          <w:lang w:eastAsia="en-GB"/>
        </w:rPr>
        <w:t>The organisation meets its legal and other statutory obligations, such as Charities Acts, Her Majesty’s Revenue &amp; Customs and common law.</w:t>
      </w:r>
    </w:p>
    <w:p w14:paraId="71BE7D5F" w14:textId="77777777" w:rsidR="0042189F" w:rsidRPr="00F34AAF" w:rsidRDefault="0042189F" w:rsidP="00CE122A">
      <w:pPr>
        <w:pStyle w:val="ListParagraph"/>
        <w:numPr>
          <w:ilvl w:val="0"/>
          <w:numId w:val="30"/>
        </w:numPr>
        <w:spacing w:before="120" w:after="120"/>
        <w:ind w:left="714" w:hanging="357"/>
        <w:rPr>
          <w:rFonts w:eastAsia="Times New Roman" w:cstheme="minorHAnsi"/>
          <w:lang w:eastAsia="en-GB"/>
        </w:rPr>
      </w:pPr>
      <w:r w:rsidRPr="00F34AAF">
        <w:rPr>
          <w:rFonts w:eastAsia="Times New Roman" w:cstheme="minorHAnsi"/>
          <w:lang w:eastAsia="en-GB"/>
        </w:rPr>
        <w:t>The PCC has proper financial control of the organisation.</w:t>
      </w:r>
    </w:p>
    <w:p w14:paraId="33DCACE9" w14:textId="77777777" w:rsidR="0042189F" w:rsidRPr="00F34AAF" w:rsidRDefault="0042189F" w:rsidP="00CE122A">
      <w:pPr>
        <w:pStyle w:val="ListParagraph"/>
        <w:numPr>
          <w:ilvl w:val="0"/>
          <w:numId w:val="30"/>
        </w:numPr>
        <w:spacing w:before="120" w:after="120"/>
        <w:ind w:left="714" w:hanging="357"/>
        <w:rPr>
          <w:rFonts w:eastAsia="Times New Roman" w:cstheme="minorHAnsi"/>
          <w:lang w:eastAsia="en-GB"/>
        </w:rPr>
      </w:pPr>
      <w:r w:rsidRPr="00F34AAF">
        <w:rPr>
          <w:rFonts w:eastAsia="Times New Roman" w:cstheme="minorHAnsi"/>
          <w:lang w:eastAsia="en-GB"/>
        </w:rPr>
        <w:t>The organisation meets the contractual obligations and requirements of funders.</w:t>
      </w:r>
    </w:p>
    <w:p w14:paraId="33E222D0"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2) The books of accounts must include:</w:t>
      </w:r>
    </w:p>
    <w:p w14:paraId="055E59F0" w14:textId="77777777" w:rsidR="0042189F" w:rsidRPr="00F34AAF" w:rsidRDefault="0042189F" w:rsidP="00CE122A">
      <w:pPr>
        <w:pStyle w:val="ListParagraph"/>
        <w:numPr>
          <w:ilvl w:val="0"/>
          <w:numId w:val="31"/>
        </w:numPr>
        <w:spacing w:before="120" w:after="120"/>
        <w:ind w:left="714" w:hanging="357"/>
        <w:rPr>
          <w:rFonts w:eastAsia="Times New Roman" w:cstheme="minorHAnsi"/>
          <w:lang w:eastAsia="en-GB"/>
        </w:rPr>
      </w:pPr>
      <w:r w:rsidRPr="00F34AAF">
        <w:rPr>
          <w:rFonts w:eastAsia="Times New Roman" w:cstheme="minorHAnsi"/>
          <w:lang w:eastAsia="en-GB"/>
        </w:rPr>
        <w:t>A record analysing all the transactions appearing on the bank accounts</w:t>
      </w:r>
    </w:p>
    <w:p w14:paraId="0FACED89" w14:textId="77777777" w:rsidR="0042189F" w:rsidRPr="00F34AAF" w:rsidRDefault="0042189F" w:rsidP="00CE122A">
      <w:pPr>
        <w:pStyle w:val="ListParagraph"/>
        <w:numPr>
          <w:ilvl w:val="0"/>
          <w:numId w:val="31"/>
        </w:numPr>
        <w:spacing w:before="120" w:after="120"/>
        <w:ind w:left="714" w:hanging="357"/>
        <w:rPr>
          <w:rFonts w:eastAsia="Times New Roman" w:cstheme="minorHAnsi"/>
          <w:lang w:eastAsia="en-GB"/>
        </w:rPr>
      </w:pPr>
      <w:r w:rsidRPr="00F34AAF">
        <w:rPr>
          <w:rFonts w:eastAsia="Times New Roman" w:cstheme="minorHAnsi"/>
          <w:lang w:eastAsia="en-GB"/>
        </w:rPr>
        <w:t>A petty cash record if cash payments are being made.</w:t>
      </w:r>
    </w:p>
    <w:p w14:paraId="78214DB9" w14:textId="77777777" w:rsidR="0042189F" w:rsidRPr="00F34AAF" w:rsidRDefault="0042189F" w:rsidP="00CE122A">
      <w:pPr>
        <w:pStyle w:val="ListParagraph"/>
        <w:numPr>
          <w:ilvl w:val="0"/>
          <w:numId w:val="31"/>
        </w:numPr>
        <w:spacing w:before="120" w:after="120"/>
        <w:ind w:left="714" w:hanging="357"/>
        <w:rPr>
          <w:rFonts w:eastAsia="Times New Roman" w:cstheme="minorHAnsi"/>
          <w:lang w:eastAsia="en-GB"/>
        </w:rPr>
      </w:pPr>
      <w:r w:rsidRPr="00F34AAF">
        <w:rPr>
          <w:rFonts w:eastAsia="Times New Roman" w:cstheme="minorHAnsi"/>
          <w:lang w:eastAsia="en-GB"/>
        </w:rPr>
        <w:t>Inland Revenue deductions record (if registered for PAYE)</w:t>
      </w:r>
    </w:p>
    <w:p w14:paraId="30AFB1D0"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3) Accounts must be drawn up at the end of each financial year within 3 months of the financial year end and presented to the next Annual Parochial Church Meeting.</w:t>
      </w:r>
    </w:p>
    <w:p w14:paraId="5F4538ED"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4) Prior to the start of each financial year, the PCC will approve a budgeted income and expenditure account for the following year.</w:t>
      </w:r>
    </w:p>
    <w:p w14:paraId="7DA5B70F"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5) A report comparing actual income and expenditure with the budget should be presented to the PCC every three months or whenever meetings take place.</w:t>
      </w:r>
    </w:p>
    <w:p w14:paraId="596CA7EB"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6) The APCM will appoint a Treasurer and an appropriately qualified independent examiner to examine the accounts before presentation to the next APCM.</w:t>
      </w:r>
    </w:p>
    <w:p w14:paraId="3872CABF"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t>Banking</w:t>
      </w:r>
    </w:p>
    <w:p w14:paraId="26D8DC34" w14:textId="77777777" w:rsidR="0042189F" w:rsidRPr="00EB370D" w:rsidRDefault="0042189F" w:rsidP="0042189F">
      <w:pPr>
        <w:pStyle w:val="ListParagraph"/>
        <w:numPr>
          <w:ilvl w:val="0"/>
          <w:numId w:val="32"/>
        </w:numPr>
        <w:spacing w:before="120" w:after="120"/>
        <w:ind w:left="360"/>
        <w:contextualSpacing w:val="0"/>
        <w:rPr>
          <w:rFonts w:eastAsia="Times New Roman" w:cstheme="minorHAnsi"/>
          <w:lang w:eastAsia="en-GB"/>
        </w:rPr>
      </w:pPr>
      <w:r w:rsidRPr="00EB370D">
        <w:rPr>
          <w:rFonts w:eastAsia="Times New Roman" w:cstheme="minorHAnsi"/>
          <w:lang w:eastAsia="en-GB"/>
        </w:rPr>
        <w:t>The PCC will bank with X Bank plc at its Y Road Branch and accounts will be held in the name of the PCC of St Jude Chicheston.</w:t>
      </w:r>
    </w:p>
    <w:p w14:paraId="6884700F" w14:textId="77777777" w:rsidR="0042189F" w:rsidRPr="00EB370D" w:rsidRDefault="0042189F" w:rsidP="0042189F">
      <w:pPr>
        <w:pStyle w:val="ListParagraph"/>
        <w:spacing w:before="120" w:after="120"/>
        <w:ind w:left="360"/>
        <w:contextualSpacing w:val="0"/>
        <w:rPr>
          <w:rFonts w:eastAsia="Times New Roman" w:cstheme="minorHAnsi"/>
          <w:lang w:eastAsia="en-GB"/>
        </w:rPr>
      </w:pPr>
      <w:r w:rsidRPr="00EB370D">
        <w:rPr>
          <w:rFonts w:eastAsia="Times New Roman" w:cstheme="minorHAnsi"/>
          <w:lang w:eastAsia="en-GB"/>
        </w:rPr>
        <w:t>The following accounts will be maintained:</w:t>
      </w:r>
    </w:p>
    <w:p w14:paraId="3BCBDFFE" w14:textId="77777777" w:rsidR="0042189F" w:rsidRPr="00F34AAF" w:rsidRDefault="0042189F" w:rsidP="0042189F">
      <w:pPr>
        <w:pStyle w:val="ListParagraph"/>
        <w:numPr>
          <w:ilvl w:val="0"/>
          <w:numId w:val="33"/>
        </w:numPr>
        <w:spacing w:before="120" w:after="120"/>
        <w:ind w:left="1077" w:hanging="357"/>
        <w:rPr>
          <w:rFonts w:eastAsia="Times New Roman" w:cstheme="minorHAnsi"/>
          <w:lang w:eastAsia="en-GB"/>
        </w:rPr>
      </w:pPr>
      <w:r w:rsidRPr="00F34AAF">
        <w:rPr>
          <w:rFonts w:eastAsia="Times New Roman" w:cstheme="minorHAnsi"/>
          <w:lang w:eastAsia="en-GB"/>
        </w:rPr>
        <w:t>Charity Account No 1</w:t>
      </w:r>
    </w:p>
    <w:p w14:paraId="175CE65F" w14:textId="77777777" w:rsidR="0042189F" w:rsidRPr="00F34AAF" w:rsidRDefault="0042189F" w:rsidP="0042189F">
      <w:pPr>
        <w:pStyle w:val="ListParagraph"/>
        <w:numPr>
          <w:ilvl w:val="0"/>
          <w:numId w:val="33"/>
        </w:numPr>
        <w:spacing w:before="120" w:after="120"/>
        <w:ind w:left="1077" w:hanging="357"/>
        <w:contextualSpacing w:val="0"/>
        <w:rPr>
          <w:rFonts w:eastAsia="Times New Roman" w:cstheme="minorHAnsi"/>
          <w:lang w:eastAsia="en-GB"/>
        </w:rPr>
      </w:pPr>
      <w:r w:rsidRPr="00F34AAF">
        <w:rPr>
          <w:rFonts w:eastAsia="Times New Roman" w:cstheme="minorHAnsi"/>
          <w:lang w:eastAsia="en-GB"/>
        </w:rPr>
        <w:t>Charity Investment Account</w:t>
      </w:r>
    </w:p>
    <w:p w14:paraId="61FE8ED8" w14:textId="77777777" w:rsidR="0042189F" w:rsidRDefault="0042189F" w:rsidP="0042189F">
      <w:pPr>
        <w:pStyle w:val="ListParagraph"/>
        <w:numPr>
          <w:ilvl w:val="0"/>
          <w:numId w:val="32"/>
        </w:numPr>
        <w:spacing w:before="120" w:after="120"/>
        <w:ind w:left="360"/>
        <w:contextualSpacing w:val="0"/>
        <w:rPr>
          <w:rFonts w:eastAsia="Times New Roman" w:cstheme="minorHAnsi"/>
          <w:lang w:eastAsia="en-GB"/>
        </w:rPr>
      </w:pPr>
      <w:r w:rsidRPr="00EB370D">
        <w:rPr>
          <w:rFonts w:eastAsia="Times New Roman" w:cstheme="minorHAnsi"/>
          <w:lang w:eastAsia="en-GB"/>
        </w:rPr>
        <w:t xml:space="preserve">The bank mandate (list of people who can sign cheques on the PCC’s behalf) will always be approved and </w:t>
      </w:r>
      <w:proofErr w:type="spellStart"/>
      <w:r w:rsidRPr="00EB370D">
        <w:rPr>
          <w:rFonts w:eastAsia="Times New Roman" w:cstheme="minorHAnsi"/>
          <w:lang w:eastAsia="en-GB"/>
        </w:rPr>
        <w:t>minuted</w:t>
      </w:r>
      <w:proofErr w:type="spellEnd"/>
      <w:r w:rsidRPr="00EB370D">
        <w:rPr>
          <w:rFonts w:eastAsia="Times New Roman" w:cstheme="minorHAnsi"/>
          <w:lang w:eastAsia="en-GB"/>
        </w:rPr>
        <w:t xml:space="preserve"> by the PCC Members annually</w:t>
      </w:r>
      <w:r w:rsidR="00563195">
        <w:rPr>
          <w:rFonts w:eastAsia="Times New Roman" w:cstheme="minorHAnsi"/>
          <w:lang w:eastAsia="en-GB"/>
        </w:rPr>
        <w:t>;</w:t>
      </w:r>
      <w:r w:rsidRPr="00EB370D">
        <w:rPr>
          <w:rFonts w:eastAsia="Times New Roman" w:cstheme="minorHAnsi"/>
          <w:lang w:eastAsia="en-GB"/>
        </w:rPr>
        <w:t xml:space="preserve"> as will any changes to it.</w:t>
      </w:r>
    </w:p>
    <w:p w14:paraId="7DBAE77B" w14:textId="77777777" w:rsidR="0042189F" w:rsidRPr="00EB370D" w:rsidRDefault="0042189F" w:rsidP="0042189F">
      <w:pPr>
        <w:pStyle w:val="ListParagraph"/>
        <w:numPr>
          <w:ilvl w:val="0"/>
          <w:numId w:val="32"/>
        </w:numPr>
        <w:spacing w:before="120" w:after="120"/>
        <w:ind w:left="360"/>
        <w:contextualSpacing w:val="0"/>
        <w:rPr>
          <w:rFonts w:eastAsia="Times New Roman" w:cstheme="minorHAnsi"/>
          <w:lang w:eastAsia="en-GB"/>
        </w:rPr>
      </w:pPr>
      <w:r w:rsidRPr="00EB370D">
        <w:rPr>
          <w:rFonts w:eastAsia="Times New Roman" w:cstheme="minorHAnsi"/>
          <w:lang w:eastAsia="en-GB"/>
        </w:rPr>
        <w:t xml:space="preserve">The PCC will require the bank to provide statements every </w:t>
      </w:r>
      <w:proofErr w:type="gramStart"/>
      <w:r w:rsidRPr="00EB370D">
        <w:rPr>
          <w:rFonts w:eastAsia="Times New Roman" w:cstheme="minorHAnsi"/>
          <w:lang w:eastAsia="en-GB"/>
        </w:rPr>
        <w:t>month</w:t>
      </w:r>
      <w:proofErr w:type="gramEnd"/>
      <w:r w:rsidRPr="00EB370D">
        <w:rPr>
          <w:rFonts w:eastAsia="Times New Roman" w:cstheme="minorHAnsi"/>
          <w:lang w:eastAsia="en-GB"/>
        </w:rPr>
        <w:t xml:space="preserve"> and these will be reconciled with the accounting records at least every three months and the Independent Examiner will be required to will spot check that this reconciliation has been done at least twice a year.</w:t>
      </w:r>
    </w:p>
    <w:p w14:paraId="064F52EC" w14:textId="6369098C" w:rsidR="0042189F" w:rsidRPr="00EB370D" w:rsidRDefault="0042189F" w:rsidP="0042189F">
      <w:pPr>
        <w:pStyle w:val="ListParagraph"/>
        <w:numPr>
          <w:ilvl w:val="0"/>
          <w:numId w:val="32"/>
        </w:numPr>
        <w:spacing w:before="120" w:after="120"/>
        <w:ind w:left="360"/>
        <w:contextualSpacing w:val="0"/>
        <w:rPr>
          <w:rFonts w:eastAsia="Times New Roman" w:cstheme="minorHAnsi"/>
          <w:lang w:eastAsia="en-GB"/>
        </w:rPr>
      </w:pPr>
      <w:r w:rsidRPr="00EB370D">
        <w:rPr>
          <w:rFonts w:eastAsia="Times New Roman" w:cstheme="minorHAnsi"/>
          <w:lang w:eastAsia="en-GB"/>
        </w:rPr>
        <w:t>The PCC will not use any other bank or financial institution or use overdraft facilities or loan without the agreement of the PCC Members.</w:t>
      </w:r>
    </w:p>
    <w:p w14:paraId="2C2CD751"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t>Income</w:t>
      </w:r>
    </w:p>
    <w:p w14:paraId="4F4CFF03" w14:textId="77777777" w:rsidR="0042189F" w:rsidRPr="00EB370D" w:rsidRDefault="0042189F" w:rsidP="0042189F">
      <w:pPr>
        <w:pStyle w:val="ListParagraph"/>
        <w:numPr>
          <w:ilvl w:val="1"/>
          <w:numId w:val="34"/>
        </w:numPr>
        <w:spacing w:before="120" w:after="120"/>
        <w:ind w:left="360"/>
        <w:contextualSpacing w:val="0"/>
        <w:rPr>
          <w:rFonts w:eastAsia="Times New Roman" w:cstheme="minorHAnsi"/>
          <w:lang w:eastAsia="en-GB"/>
        </w:rPr>
      </w:pPr>
      <w:r w:rsidRPr="00EB370D">
        <w:rPr>
          <w:rFonts w:eastAsia="Times New Roman" w:cstheme="minorHAnsi"/>
          <w:lang w:eastAsia="en-GB"/>
        </w:rPr>
        <w:t>All monies received will be recorded promptly in the cash analysis record and banked without delay</w:t>
      </w:r>
      <w:r w:rsidR="00CE122A">
        <w:rPr>
          <w:rFonts w:eastAsia="Times New Roman" w:cstheme="minorHAnsi"/>
          <w:lang w:eastAsia="en-GB"/>
        </w:rPr>
        <w:t>,</w:t>
      </w:r>
      <w:r w:rsidRPr="00EB370D">
        <w:rPr>
          <w:rFonts w:eastAsia="Times New Roman" w:cstheme="minorHAnsi"/>
          <w:lang w:eastAsia="en-GB"/>
        </w:rPr>
        <w:t xml:space="preserve"> </w:t>
      </w:r>
      <w:r w:rsidR="00CE122A">
        <w:rPr>
          <w:rFonts w:eastAsia="Times New Roman" w:cstheme="minorHAnsi"/>
          <w:lang w:eastAsia="en-GB"/>
        </w:rPr>
        <w:t>including</w:t>
      </w:r>
      <w:r w:rsidRPr="00EB370D">
        <w:rPr>
          <w:rFonts w:eastAsia="Times New Roman" w:cstheme="minorHAnsi"/>
          <w:lang w:eastAsia="en-GB"/>
        </w:rPr>
        <w:t xml:space="preserve"> sundry receipts such as payment for tel</w:t>
      </w:r>
      <w:r w:rsidR="00CE122A">
        <w:rPr>
          <w:rFonts w:eastAsia="Times New Roman" w:cstheme="minorHAnsi"/>
          <w:lang w:eastAsia="en-GB"/>
        </w:rPr>
        <w:t>ephone calls, photocopying etc</w:t>
      </w:r>
      <w:r w:rsidRPr="00EB370D">
        <w:rPr>
          <w:rFonts w:eastAsia="Times New Roman" w:cstheme="minorHAnsi"/>
          <w:lang w:eastAsia="en-GB"/>
        </w:rPr>
        <w:t xml:space="preserve">. </w:t>
      </w:r>
    </w:p>
    <w:p w14:paraId="57E005F5" w14:textId="77777777" w:rsidR="0042189F" w:rsidRPr="00EB370D" w:rsidRDefault="0042189F" w:rsidP="0042189F">
      <w:pPr>
        <w:pStyle w:val="ListParagraph"/>
        <w:spacing w:before="120" w:after="120"/>
        <w:ind w:left="0" w:firstLine="360"/>
        <w:contextualSpacing w:val="0"/>
        <w:rPr>
          <w:rFonts w:eastAsia="Times New Roman" w:cstheme="minorHAnsi"/>
          <w:lang w:eastAsia="en-GB"/>
        </w:rPr>
      </w:pPr>
      <w:r w:rsidRPr="00EB370D">
        <w:rPr>
          <w:rFonts w:eastAsia="Times New Roman" w:cstheme="minorHAnsi"/>
          <w:lang w:eastAsia="en-GB"/>
        </w:rPr>
        <w:t>The PCC will maintain files of documentation to back this up.</w:t>
      </w:r>
    </w:p>
    <w:p w14:paraId="4851691C" w14:textId="77777777" w:rsidR="0042189F" w:rsidRDefault="0042189F" w:rsidP="0042189F">
      <w:pPr>
        <w:spacing w:before="120" w:after="120"/>
        <w:rPr>
          <w:rFonts w:eastAsia="Times New Roman" w:cstheme="minorHAnsi"/>
          <w:lang w:eastAsia="en-GB"/>
        </w:rPr>
      </w:pPr>
    </w:p>
    <w:p w14:paraId="763A4098" w14:textId="77777777" w:rsidR="00CE122A" w:rsidRPr="00F34AAF" w:rsidRDefault="00CE122A" w:rsidP="0042189F">
      <w:pPr>
        <w:spacing w:before="120" w:after="120"/>
        <w:rPr>
          <w:rFonts w:eastAsia="Times New Roman" w:cstheme="minorHAnsi"/>
          <w:lang w:eastAsia="en-GB"/>
        </w:rPr>
      </w:pPr>
    </w:p>
    <w:p w14:paraId="33CCF6DD" w14:textId="77777777" w:rsidR="0042189F" w:rsidRPr="00EB370D" w:rsidRDefault="0042189F" w:rsidP="0042189F">
      <w:pPr>
        <w:pStyle w:val="ListParagraph"/>
        <w:spacing w:before="120" w:after="120"/>
        <w:ind w:left="0"/>
        <w:contextualSpacing w:val="0"/>
        <w:rPr>
          <w:rFonts w:eastAsia="Times New Roman" w:cstheme="minorHAnsi"/>
          <w:lang w:eastAsia="en-GB"/>
        </w:rPr>
      </w:pPr>
      <w:r w:rsidRPr="00EB370D">
        <w:rPr>
          <w:rFonts w:eastAsia="Times New Roman" w:cstheme="minorHAnsi"/>
          <w:b/>
          <w:color w:val="4472C4" w:themeColor="accent5"/>
          <w:sz w:val="28"/>
          <w:szCs w:val="28"/>
          <w:lang w:eastAsia="en-GB"/>
        </w:rPr>
        <w:lastRenderedPageBreak/>
        <w:t xml:space="preserve">Payments </w:t>
      </w:r>
      <w:r w:rsidRPr="00EB370D">
        <w:rPr>
          <w:rFonts w:eastAsia="Times New Roman" w:cstheme="minorHAnsi"/>
          <w:lang w:eastAsia="en-GB"/>
        </w:rPr>
        <w:t>(expenditure)</w:t>
      </w:r>
    </w:p>
    <w:p w14:paraId="592748A3" w14:textId="77777777" w:rsidR="0042189F" w:rsidRPr="00EB370D" w:rsidRDefault="0042189F" w:rsidP="0042189F">
      <w:pPr>
        <w:pStyle w:val="ListParagraph"/>
        <w:numPr>
          <w:ilvl w:val="1"/>
          <w:numId w:val="34"/>
        </w:numPr>
        <w:spacing w:before="120" w:after="120"/>
        <w:ind w:left="357" w:hanging="357"/>
        <w:contextualSpacing w:val="0"/>
        <w:rPr>
          <w:rFonts w:eastAsia="Times New Roman" w:cstheme="minorHAnsi"/>
          <w:lang w:eastAsia="en-GB"/>
        </w:rPr>
      </w:pPr>
      <w:r w:rsidRPr="00EB370D">
        <w:rPr>
          <w:rFonts w:eastAsia="Times New Roman" w:cstheme="minorHAnsi"/>
          <w:lang w:eastAsia="en-GB"/>
        </w:rPr>
        <w:t>The aim is to ensure that all expenditure is properly the PCC's activities and is properly authorised and that this can be demonstrated. The latest approved budget provides the cheque signatories with authority to spend up to the budgeted expenditure, not beyond it.</w:t>
      </w:r>
    </w:p>
    <w:p w14:paraId="531A7293" w14:textId="77777777" w:rsidR="0042189F" w:rsidRPr="00EB370D" w:rsidRDefault="0042189F" w:rsidP="0042189F">
      <w:pPr>
        <w:pStyle w:val="ListParagraph"/>
        <w:numPr>
          <w:ilvl w:val="1"/>
          <w:numId w:val="34"/>
        </w:numPr>
        <w:spacing w:before="120" w:after="120"/>
        <w:ind w:left="357" w:hanging="357"/>
        <w:contextualSpacing w:val="0"/>
        <w:rPr>
          <w:rFonts w:eastAsia="Times New Roman" w:cstheme="minorHAnsi"/>
          <w:lang w:eastAsia="en-GB"/>
        </w:rPr>
      </w:pPr>
      <w:r w:rsidRPr="00EB370D">
        <w:rPr>
          <w:rFonts w:eastAsia="Times New Roman" w:cstheme="minorHAnsi"/>
          <w:lang w:eastAsia="en-GB"/>
        </w:rPr>
        <w:t>The Treasurer will be responsible for holding the cheque books (including unused and partly used cheque books) which should be kept under lock and key.</w:t>
      </w:r>
    </w:p>
    <w:p w14:paraId="38AA57AE" w14:textId="77777777" w:rsidR="0042189F" w:rsidRPr="00EB370D" w:rsidRDefault="00CE122A" w:rsidP="0042189F">
      <w:pPr>
        <w:pStyle w:val="ListParagraph"/>
        <w:numPr>
          <w:ilvl w:val="1"/>
          <w:numId w:val="34"/>
        </w:numPr>
        <w:spacing w:before="120" w:after="120"/>
        <w:ind w:left="357" w:hanging="357"/>
        <w:contextualSpacing w:val="0"/>
        <w:rPr>
          <w:rFonts w:eastAsia="Times New Roman" w:cstheme="minorHAnsi"/>
          <w:lang w:eastAsia="en-GB"/>
        </w:rPr>
      </w:pPr>
      <w:r>
        <w:rPr>
          <w:rFonts w:eastAsia="Times New Roman" w:cstheme="minorHAnsi"/>
          <w:lang w:eastAsia="en-GB"/>
        </w:rPr>
        <w:t>No-one is authorised to sign b</w:t>
      </w:r>
      <w:r w:rsidR="0042189F" w:rsidRPr="00EB370D">
        <w:rPr>
          <w:rFonts w:eastAsia="Times New Roman" w:cstheme="minorHAnsi"/>
          <w:lang w:eastAsia="en-GB"/>
        </w:rPr>
        <w:t>l</w:t>
      </w:r>
      <w:r>
        <w:rPr>
          <w:rFonts w:eastAsia="Times New Roman" w:cstheme="minorHAnsi"/>
          <w:lang w:eastAsia="en-GB"/>
        </w:rPr>
        <w:t>ank cheques</w:t>
      </w:r>
      <w:r w:rsidR="0042189F" w:rsidRPr="00EB370D">
        <w:rPr>
          <w:rFonts w:eastAsia="Times New Roman" w:cstheme="minorHAnsi"/>
          <w:lang w:eastAsia="en-GB"/>
        </w:rPr>
        <w:t>.</w:t>
      </w:r>
    </w:p>
    <w:p w14:paraId="79F285B9" w14:textId="77777777" w:rsidR="0042189F" w:rsidRPr="00EB370D" w:rsidRDefault="0042189F" w:rsidP="0042189F">
      <w:pPr>
        <w:pStyle w:val="ListParagraph"/>
        <w:numPr>
          <w:ilvl w:val="1"/>
          <w:numId w:val="34"/>
        </w:numPr>
        <w:spacing w:before="120" w:after="120"/>
        <w:ind w:left="357" w:hanging="357"/>
        <w:contextualSpacing w:val="0"/>
        <w:rPr>
          <w:rFonts w:eastAsia="Times New Roman" w:cstheme="minorHAnsi"/>
          <w:lang w:eastAsia="en-GB"/>
        </w:rPr>
      </w:pPr>
      <w:r w:rsidRPr="00EB370D">
        <w:rPr>
          <w:rFonts w:eastAsia="Times New Roman" w:cstheme="minorHAnsi"/>
          <w:lang w:eastAsia="en-GB"/>
        </w:rPr>
        <w:t>The relevant payee's name will always be inserted on the cheque before signature and the cheque stub will always be properly completed.</w:t>
      </w:r>
    </w:p>
    <w:p w14:paraId="68011067" w14:textId="77777777" w:rsidR="0042189F" w:rsidRPr="00EB370D" w:rsidRDefault="0042189F" w:rsidP="0042189F">
      <w:pPr>
        <w:pStyle w:val="ListParagraph"/>
        <w:numPr>
          <w:ilvl w:val="1"/>
          <w:numId w:val="34"/>
        </w:numPr>
        <w:spacing w:before="120" w:after="120"/>
        <w:ind w:left="357" w:hanging="357"/>
        <w:contextualSpacing w:val="0"/>
        <w:rPr>
          <w:rFonts w:eastAsia="Times New Roman" w:cstheme="minorHAnsi"/>
          <w:lang w:eastAsia="en-GB"/>
        </w:rPr>
      </w:pPr>
      <w:r w:rsidRPr="00EB370D">
        <w:rPr>
          <w:rFonts w:eastAsia="Times New Roman" w:cstheme="minorHAnsi"/>
          <w:lang w:eastAsia="en-GB"/>
        </w:rPr>
        <w:t>No cheques should be signed without original documentation (see below).</w:t>
      </w:r>
    </w:p>
    <w:p w14:paraId="0BDF258C"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t>Payment documentation</w:t>
      </w:r>
    </w:p>
    <w:p w14:paraId="0AB03571" w14:textId="77777777" w:rsidR="0042189F" w:rsidRPr="008D2211" w:rsidRDefault="0042189F" w:rsidP="0042189F">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Every payment out of the PCC's bank accounts will be evidenced by an original invoice (never against a supplier's statement or final demand). That original invoice will be retained by the PCC and filed. The cheque signatory should ensure that it is referenced with:</w:t>
      </w:r>
    </w:p>
    <w:p w14:paraId="24FEF1C4" w14:textId="77777777" w:rsidR="0042189F" w:rsidRPr="00F34AAF" w:rsidRDefault="0042189F" w:rsidP="0042189F">
      <w:pPr>
        <w:pStyle w:val="ListParagraph"/>
        <w:numPr>
          <w:ilvl w:val="0"/>
          <w:numId w:val="36"/>
        </w:numPr>
        <w:spacing w:before="120" w:after="120"/>
        <w:ind w:left="714" w:hanging="357"/>
        <w:rPr>
          <w:rFonts w:eastAsia="Times New Roman" w:cstheme="minorHAnsi"/>
          <w:lang w:eastAsia="en-GB"/>
        </w:rPr>
      </w:pPr>
      <w:r w:rsidRPr="00F34AAF">
        <w:rPr>
          <w:rFonts w:eastAsia="Times New Roman" w:cstheme="minorHAnsi"/>
          <w:lang w:eastAsia="en-GB"/>
        </w:rPr>
        <w:t>Cheque number</w:t>
      </w:r>
    </w:p>
    <w:p w14:paraId="638DAB24" w14:textId="77777777" w:rsidR="0042189F" w:rsidRPr="00F34AAF" w:rsidRDefault="0042189F" w:rsidP="0042189F">
      <w:pPr>
        <w:pStyle w:val="ListParagraph"/>
        <w:numPr>
          <w:ilvl w:val="0"/>
          <w:numId w:val="36"/>
        </w:numPr>
        <w:spacing w:before="120" w:after="120"/>
        <w:ind w:left="714" w:hanging="357"/>
        <w:rPr>
          <w:rFonts w:eastAsia="Times New Roman" w:cstheme="minorHAnsi"/>
          <w:lang w:eastAsia="en-GB"/>
        </w:rPr>
      </w:pPr>
      <w:r w:rsidRPr="00F34AAF">
        <w:rPr>
          <w:rFonts w:eastAsia="Times New Roman" w:cstheme="minorHAnsi"/>
          <w:lang w:eastAsia="en-GB"/>
        </w:rPr>
        <w:t>Date cheque drawn</w:t>
      </w:r>
    </w:p>
    <w:p w14:paraId="4CEB7418" w14:textId="77777777" w:rsidR="0042189F" w:rsidRPr="00F34AAF" w:rsidRDefault="0042189F" w:rsidP="0042189F">
      <w:pPr>
        <w:pStyle w:val="ListParagraph"/>
        <w:numPr>
          <w:ilvl w:val="0"/>
          <w:numId w:val="36"/>
        </w:numPr>
        <w:spacing w:before="120" w:after="120"/>
        <w:ind w:left="714" w:hanging="357"/>
        <w:contextualSpacing w:val="0"/>
        <w:rPr>
          <w:rFonts w:eastAsia="Times New Roman" w:cstheme="minorHAnsi"/>
          <w:lang w:eastAsia="en-GB"/>
        </w:rPr>
      </w:pPr>
      <w:r w:rsidRPr="00F34AAF">
        <w:rPr>
          <w:rFonts w:eastAsia="Times New Roman" w:cstheme="minorHAnsi"/>
          <w:lang w:eastAsia="en-GB"/>
        </w:rPr>
        <w:t>Amount of cheque</w:t>
      </w:r>
    </w:p>
    <w:p w14:paraId="7FD1ABC2" w14:textId="111752E7" w:rsidR="0042189F" w:rsidRPr="008D2211" w:rsidRDefault="0042189F" w:rsidP="0042189F">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The only exceptions to cheques not being supported by an original invoice are Items such as advance booking fees for a future course, deposit for a venue, VAT, etc. Here a cheque requisition form will be used, and a photocopy of the cheque kept.</w:t>
      </w:r>
    </w:p>
    <w:p w14:paraId="29B73906" w14:textId="77777777" w:rsidR="0042189F" w:rsidRPr="00F348A9" w:rsidRDefault="0042189F" w:rsidP="00F348A9">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 xml:space="preserve">Wages and Salaries. There will be a clear trail to show the authority and reason for EVERY such </w:t>
      </w:r>
      <w:proofErr w:type="gramStart"/>
      <w:r w:rsidRPr="008D2211">
        <w:rPr>
          <w:rFonts w:eastAsia="Times New Roman" w:cstheme="minorHAnsi"/>
          <w:lang w:eastAsia="en-GB"/>
        </w:rPr>
        <w:t>payment;</w:t>
      </w:r>
      <w:proofErr w:type="gramEnd"/>
      <w:r w:rsidRPr="008D2211">
        <w:rPr>
          <w:rFonts w:eastAsia="Times New Roman" w:cstheme="minorHAnsi"/>
          <w:lang w:eastAsia="en-GB"/>
        </w:rPr>
        <w:t xml:space="preserve"> e.g. a cheque requisition form asking for payment to an employee, HMRC</w:t>
      </w:r>
      <w:r w:rsidR="00F348A9">
        <w:rPr>
          <w:rFonts w:eastAsia="Times New Roman" w:cstheme="minorHAnsi"/>
          <w:lang w:eastAsia="en-GB"/>
        </w:rPr>
        <w:t xml:space="preserve"> </w:t>
      </w:r>
      <w:r w:rsidRPr="00F348A9">
        <w:rPr>
          <w:rFonts w:eastAsia="Times New Roman" w:cstheme="minorHAnsi"/>
          <w:lang w:eastAsia="en-GB"/>
        </w:rPr>
        <w:t>etc. All employees will be paid within the PAYE and National Insurance regulations.</w:t>
      </w:r>
    </w:p>
    <w:p w14:paraId="75136548" w14:textId="77777777" w:rsidR="0042189F" w:rsidRPr="008D2211" w:rsidRDefault="0042189F" w:rsidP="0042189F">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All staff appointments/departures will be authorised by the PCC, minuting the dates and salary level. Similarly, all changes in hours and variable payments such as overtime, etc, will be authorised by the PCC.</w:t>
      </w:r>
    </w:p>
    <w:p w14:paraId="04216DA7" w14:textId="77777777" w:rsidR="0042189F" w:rsidRPr="008D2211" w:rsidRDefault="0042189F" w:rsidP="0042189F">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 xml:space="preserve">Petty cash will always be maintained on the </w:t>
      </w:r>
      <w:proofErr w:type="spellStart"/>
      <w:r w:rsidRPr="008D2211">
        <w:rPr>
          <w:rFonts w:eastAsia="Times New Roman" w:cstheme="minorHAnsi"/>
          <w:lang w:eastAsia="en-GB"/>
        </w:rPr>
        <w:t>imprest</w:t>
      </w:r>
      <w:proofErr w:type="spellEnd"/>
      <w:r w:rsidRPr="008D2211">
        <w:rPr>
          <w:rFonts w:eastAsia="Times New Roman" w:cstheme="minorHAnsi"/>
          <w:lang w:eastAsia="en-GB"/>
        </w:rPr>
        <w:t xml:space="preserve"> system whereby the </w:t>
      </w:r>
      <w:r w:rsidR="00FE3B51">
        <w:rPr>
          <w:rFonts w:eastAsia="Times New Roman" w:cstheme="minorHAnsi"/>
          <w:lang w:eastAsia="en-GB"/>
        </w:rPr>
        <w:t xml:space="preserve">Administrator/PCC Secretary/PCC Treasurer </w:t>
      </w:r>
      <w:r w:rsidR="00FE3B51" w:rsidRPr="00FE3B51">
        <w:rPr>
          <w:rFonts w:eastAsia="Times New Roman" w:cstheme="minorHAnsi"/>
          <w:i/>
          <w:lang w:eastAsia="en-GB"/>
        </w:rPr>
        <w:t>(delete as applicable)</w:t>
      </w:r>
      <w:r w:rsidRPr="008D2211">
        <w:rPr>
          <w:rFonts w:eastAsia="Times New Roman" w:cstheme="minorHAnsi"/>
          <w:lang w:eastAsia="en-GB"/>
        </w:rPr>
        <w:t xml:space="preserve"> is entrusted with a </w:t>
      </w:r>
      <w:r w:rsidR="00FE3B51">
        <w:rPr>
          <w:rFonts w:eastAsia="Times New Roman" w:cstheme="minorHAnsi"/>
          <w:lang w:eastAsia="en-GB"/>
        </w:rPr>
        <w:t>maximum sum of £ xxx</w:t>
      </w:r>
      <w:r w:rsidRPr="008D2211">
        <w:rPr>
          <w:rFonts w:eastAsia="Times New Roman" w:cstheme="minorHAnsi"/>
          <w:lang w:eastAsia="en-GB"/>
        </w:rPr>
        <w:t xml:space="preserve"> as agreed by the PCC. When that is </w:t>
      </w:r>
      <w:r w:rsidR="00FE3B51">
        <w:rPr>
          <w:rFonts w:eastAsia="Times New Roman" w:cstheme="minorHAnsi"/>
          <w:lang w:eastAsia="en-GB"/>
        </w:rPr>
        <w:t>depleted</w:t>
      </w:r>
      <w:r w:rsidRPr="008D2211">
        <w:rPr>
          <w:rFonts w:eastAsia="Times New Roman" w:cstheme="minorHAnsi"/>
          <w:lang w:eastAsia="en-GB"/>
        </w:rPr>
        <w:t>, a cheque will be drawn for sufficient funds to bring up the float to the agreed sum, the cheque being supported by a complete set of expenditure vouchers, totalling the required amount, analysed as required.</w:t>
      </w:r>
    </w:p>
    <w:p w14:paraId="117841C3" w14:textId="77777777" w:rsidR="00FE3B51" w:rsidRPr="008D2211" w:rsidRDefault="00FE3B51" w:rsidP="00FE3B51">
      <w:pPr>
        <w:pStyle w:val="ListParagraph"/>
        <w:numPr>
          <w:ilvl w:val="0"/>
          <w:numId w:val="35"/>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 xml:space="preserve">The PCC will, if </w:t>
      </w:r>
      <w:r>
        <w:rPr>
          <w:rFonts w:eastAsia="Times New Roman" w:cstheme="minorHAnsi"/>
          <w:lang w:eastAsia="en-GB"/>
        </w:rPr>
        <w:t>presented with a properly evidenced expense claim</w:t>
      </w:r>
      <w:r w:rsidRPr="008D2211">
        <w:rPr>
          <w:rFonts w:eastAsia="Times New Roman" w:cstheme="minorHAnsi"/>
          <w:lang w:eastAsia="en-GB"/>
        </w:rPr>
        <w:t xml:space="preserve">, reimburse expenditure </w:t>
      </w:r>
      <w:r>
        <w:rPr>
          <w:rFonts w:eastAsia="Times New Roman" w:cstheme="minorHAnsi"/>
          <w:lang w:eastAsia="en-GB"/>
        </w:rPr>
        <w:t>paid for personally without prior approval of the whole PCC</w:t>
      </w:r>
      <w:r w:rsidRPr="008D2211">
        <w:rPr>
          <w:rFonts w:eastAsia="Times New Roman" w:cstheme="minorHAnsi"/>
          <w:lang w:eastAsia="en-GB"/>
        </w:rPr>
        <w:t>, providing</w:t>
      </w:r>
      <w:r>
        <w:rPr>
          <w:rFonts w:eastAsia="Times New Roman" w:cstheme="minorHAnsi"/>
          <w:lang w:eastAsia="en-GB"/>
        </w:rPr>
        <w:t xml:space="preserve"> </w:t>
      </w:r>
      <w:r w:rsidRPr="004B2F69">
        <w:rPr>
          <w:rFonts w:eastAsia="Times New Roman" w:cstheme="minorHAnsi"/>
          <w:i/>
          <w:lang w:eastAsia="en-GB"/>
        </w:rPr>
        <w:t>(</w:t>
      </w:r>
      <w:r>
        <w:rPr>
          <w:rFonts w:eastAsia="Times New Roman" w:cstheme="minorHAnsi"/>
          <w:i/>
          <w:lang w:eastAsia="en-GB"/>
        </w:rPr>
        <w:t>delete as applicable)</w:t>
      </w:r>
      <w:r w:rsidRPr="008D2211">
        <w:rPr>
          <w:rFonts w:eastAsia="Times New Roman" w:cstheme="minorHAnsi"/>
          <w:lang w:eastAsia="en-GB"/>
        </w:rPr>
        <w:t>:</w:t>
      </w:r>
    </w:p>
    <w:p w14:paraId="4D7FA21E" w14:textId="77777777" w:rsidR="00FE3B51" w:rsidRDefault="00FE3B51" w:rsidP="00FE3B51">
      <w:pPr>
        <w:pStyle w:val="ListParagraph"/>
        <w:numPr>
          <w:ilvl w:val="0"/>
          <w:numId w:val="37"/>
        </w:numPr>
        <w:spacing w:before="120" w:after="120"/>
        <w:ind w:left="714" w:hanging="357"/>
        <w:rPr>
          <w:rFonts w:eastAsia="Times New Roman" w:cstheme="minorHAnsi"/>
          <w:lang w:eastAsia="en-GB"/>
        </w:rPr>
      </w:pPr>
      <w:r>
        <w:rPr>
          <w:rFonts w:eastAsia="Times New Roman" w:cstheme="minorHAnsi"/>
          <w:lang w:eastAsia="en-GB"/>
        </w:rPr>
        <w:t>No-one acting alone will commit the PCC to pay for any expenditure exceeding £ xxx</w:t>
      </w:r>
    </w:p>
    <w:p w14:paraId="347B2F4B" w14:textId="77777777" w:rsidR="00FE3B51" w:rsidRDefault="00FE3B51" w:rsidP="00FE3B51">
      <w:pPr>
        <w:pStyle w:val="ListParagraph"/>
        <w:numPr>
          <w:ilvl w:val="0"/>
          <w:numId w:val="37"/>
        </w:numPr>
        <w:spacing w:before="120" w:after="120"/>
        <w:ind w:left="714" w:hanging="357"/>
        <w:rPr>
          <w:rFonts w:eastAsia="Times New Roman" w:cstheme="minorHAnsi"/>
          <w:lang w:eastAsia="en-GB"/>
        </w:rPr>
      </w:pPr>
      <w:r>
        <w:rPr>
          <w:rFonts w:eastAsia="Times New Roman" w:cstheme="minorHAnsi"/>
          <w:lang w:eastAsia="en-GB"/>
        </w:rPr>
        <w:t>The Standing Committee is authorised to commit the PCC to expenditure not exceeding £xxx</w:t>
      </w:r>
    </w:p>
    <w:p w14:paraId="74D21447" w14:textId="77777777" w:rsidR="00FE3B51" w:rsidRDefault="00FE3B51" w:rsidP="00FE3B51">
      <w:pPr>
        <w:pStyle w:val="ListParagraph"/>
        <w:numPr>
          <w:ilvl w:val="0"/>
          <w:numId w:val="37"/>
        </w:numPr>
        <w:spacing w:before="120" w:after="120"/>
        <w:ind w:left="714" w:hanging="357"/>
        <w:rPr>
          <w:rFonts w:eastAsia="Times New Roman" w:cstheme="minorHAnsi"/>
          <w:lang w:eastAsia="en-GB"/>
        </w:rPr>
      </w:pPr>
      <w:r>
        <w:rPr>
          <w:rFonts w:eastAsia="Times New Roman" w:cstheme="minorHAnsi"/>
          <w:lang w:eastAsia="en-GB"/>
        </w:rPr>
        <w:t xml:space="preserve">The Church Wardens acting together are authorised </w:t>
      </w:r>
      <w:bookmarkStart w:id="0" w:name="_Hlk534811939"/>
      <w:r>
        <w:rPr>
          <w:rFonts w:eastAsia="Times New Roman" w:cstheme="minorHAnsi"/>
          <w:lang w:eastAsia="en-GB"/>
        </w:rPr>
        <w:t>to commit the PCC to expenditure not exceeding £xxx</w:t>
      </w:r>
      <w:bookmarkEnd w:id="0"/>
    </w:p>
    <w:p w14:paraId="3A60E54C" w14:textId="77777777" w:rsidR="00FE3B51" w:rsidRDefault="00FE3B51" w:rsidP="00FE3B51">
      <w:pPr>
        <w:pStyle w:val="ListParagraph"/>
        <w:numPr>
          <w:ilvl w:val="0"/>
          <w:numId w:val="37"/>
        </w:numPr>
        <w:spacing w:before="120" w:after="120"/>
        <w:ind w:left="714" w:hanging="357"/>
        <w:rPr>
          <w:rFonts w:eastAsia="Times New Roman" w:cstheme="minorHAnsi"/>
          <w:lang w:eastAsia="en-GB"/>
        </w:rPr>
      </w:pPr>
      <w:r>
        <w:rPr>
          <w:rFonts w:eastAsia="Times New Roman" w:cstheme="minorHAnsi"/>
          <w:lang w:eastAsia="en-GB"/>
        </w:rPr>
        <w:t>The Youth Worker is authorised to commit the PCC to expenditure not exceeding £xxx</w:t>
      </w:r>
    </w:p>
    <w:p w14:paraId="3249780A" w14:textId="77777777" w:rsidR="00FE3B51" w:rsidRDefault="00FE3B51" w:rsidP="00FE3B51">
      <w:pPr>
        <w:pStyle w:val="ListParagraph"/>
        <w:numPr>
          <w:ilvl w:val="0"/>
          <w:numId w:val="37"/>
        </w:numPr>
        <w:spacing w:before="120" w:after="120"/>
        <w:ind w:left="714" w:hanging="357"/>
        <w:rPr>
          <w:rFonts w:eastAsia="Times New Roman" w:cstheme="minorHAnsi"/>
          <w:lang w:eastAsia="en-GB"/>
        </w:rPr>
      </w:pPr>
      <w:r>
        <w:rPr>
          <w:rFonts w:eastAsia="Times New Roman" w:cstheme="minorHAnsi"/>
          <w:lang w:eastAsia="en-GB"/>
        </w:rPr>
        <w:t>The Treasurer is not authorised to commit the PCC to expenditure without prior approval of the Standing Committee.</w:t>
      </w:r>
    </w:p>
    <w:p w14:paraId="478EF2E5" w14:textId="77777777" w:rsidR="00FE3B51" w:rsidRPr="00F34AAF" w:rsidRDefault="00FE3B51" w:rsidP="00FE3B51">
      <w:pPr>
        <w:pStyle w:val="ListParagraph"/>
        <w:numPr>
          <w:ilvl w:val="0"/>
          <w:numId w:val="37"/>
        </w:numPr>
        <w:spacing w:before="120" w:after="120"/>
        <w:ind w:left="714" w:hanging="357"/>
        <w:rPr>
          <w:rFonts w:eastAsia="Times New Roman" w:cstheme="minorHAnsi"/>
          <w:lang w:eastAsia="en-GB"/>
        </w:rPr>
      </w:pPr>
      <w:r w:rsidRPr="00F34AAF">
        <w:rPr>
          <w:rFonts w:eastAsia="Times New Roman" w:cstheme="minorHAnsi"/>
          <w:lang w:eastAsia="en-GB"/>
        </w:rPr>
        <w:t>Fares are evidenced by tickets.</w:t>
      </w:r>
    </w:p>
    <w:p w14:paraId="52091E2C" w14:textId="77777777" w:rsidR="00FE3B51" w:rsidRPr="00F34AAF" w:rsidRDefault="00FE3B51" w:rsidP="00FE3B51">
      <w:pPr>
        <w:pStyle w:val="ListParagraph"/>
        <w:numPr>
          <w:ilvl w:val="0"/>
          <w:numId w:val="37"/>
        </w:numPr>
        <w:spacing w:before="120" w:after="120"/>
        <w:ind w:left="714" w:hanging="357"/>
        <w:rPr>
          <w:rFonts w:eastAsia="Times New Roman" w:cstheme="minorHAnsi"/>
          <w:lang w:eastAsia="en-GB"/>
        </w:rPr>
      </w:pPr>
      <w:r w:rsidRPr="00F34AAF">
        <w:rPr>
          <w:rFonts w:eastAsia="Times New Roman" w:cstheme="minorHAnsi"/>
          <w:lang w:eastAsia="en-GB"/>
        </w:rPr>
        <w:t>Other expenditure is evidenced by original receipts.</w:t>
      </w:r>
    </w:p>
    <w:p w14:paraId="42D755CD" w14:textId="77777777" w:rsidR="00FE3B51" w:rsidRPr="00F34AAF" w:rsidRDefault="00FE3B51" w:rsidP="00FE3B51">
      <w:pPr>
        <w:pStyle w:val="ListParagraph"/>
        <w:numPr>
          <w:ilvl w:val="0"/>
          <w:numId w:val="37"/>
        </w:numPr>
        <w:spacing w:before="120" w:after="120"/>
        <w:ind w:left="714" w:hanging="357"/>
        <w:rPr>
          <w:rFonts w:eastAsia="Times New Roman" w:cstheme="minorHAnsi"/>
          <w:lang w:eastAsia="en-GB"/>
        </w:rPr>
      </w:pPr>
      <w:r w:rsidRPr="00F34AAF">
        <w:rPr>
          <w:rFonts w:eastAsia="Times New Roman" w:cstheme="minorHAnsi"/>
          <w:lang w:eastAsia="en-GB"/>
        </w:rPr>
        <w:t>Car mileage is based on official scales.</w:t>
      </w:r>
    </w:p>
    <w:p w14:paraId="5A036ED1" w14:textId="77777777" w:rsidR="00FE3B51" w:rsidRPr="008D2211" w:rsidRDefault="00FE3B51" w:rsidP="00FE3B51">
      <w:pPr>
        <w:pStyle w:val="ListParagraph"/>
        <w:numPr>
          <w:ilvl w:val="0"/>
          <w:numId w:val="37"/>
        </w:numPr>
        <w:spacing w:before="120" w:after="120"/>
        <w:rPr>
          <w:rFonts w:eastAsia="Times New Roman" w:cstheme="minorHAnsi"/>
          <w:lang w:eastAsia="en-GB"/>
        </w:rPr>
      </w:pPr>
      <w:r w:rsidRPr="008D2211">
        <w:rPr>
          <w:rFonts w:eastAsia="Times New Roman" w:cstheme="minorHAnsi"/>
          <w:lang w:eastAsia="en-GB"/>
        </w:rPr>
        <w:t>No cheque signatory signs for the payment of expenses to themselves.</w:t>
      </w:r>
    </w:p>
    <w:p w14:paraId="50BF1D7E"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lastRenderedPageBreak/>
        <w:t>Cheque Signatures</w:t>
      </w:r>
    </w:p>
    <w:p w14:paraId="4EDB553F" w14:textId="77777777" w:rsidR="0042189F" w:rsidRPr="00F34AAF" w:rsidRDefault="0042189F" w:rsidP="0042189F">
      <w:pPr>
        <w:spacing w:before="120" w:after="120"/>
        <w:rPr>
          <w:rFonts w:eastAsia="Times New Roman" w:cstheme="minorHAnsi"/>
          <w:lang w:eastAsia="en-GB"/>
        </w:rPr>
      </w:pPr>
      <w:r w:rsidRPr="00F34AAF">
        <w:rPr>
          <w:rFonts w:eastAsia="Times New Roman" w:cstheme="minorHAnsi"/>
          <w:lang w:eastAsia="en-GB"/>
        </w:rPr>
        <w:t>1) Each cheque will be signed by at least two people.</w:t>
      </w:r>
    </w:p>
    <w:p w14:paraId="4F622FFF" w14:textId="77777777" w:rsidR="0042189F" w:rsidRDefault="0042189F" w:rsidP="0042189F">
      <w:pPr>
        <w:spacing w:before="120" w:after="120"/>
        <w:rPr>
          <w:rFonts w:eastAsia="Times New Roman" w:cstheme="minorHAnsi"/>
          <w:lang w:eastAsia="en-GB"/>
        </w:rPr>
      </w:pPr>
      <w:r w:rsidRPr="00F34AAF">
        <w:rPr>
          <w:rFonts w:eastAsia="Times New Roman" w:cstheme="minorHAnsi"/>
          <w:lang w:eastAsia="en-GB"/>
        </w:rPr>
        <w:t xml:space="preserve">2) A cheque must not be signed by the person to whom it is payable </w:t>
      </w:r>
      <w:r w:rsidRPr="00D11578">
        <w:rPr>
          <w:rFonts w:eastAsia="Times New Roman" w:cstheme="minorHAnsi"/>
          <w:i/>
          <w:lang w:eastAsia="en-GB"/>
        </w:rPr>
        <w:t>(you will have to ensure that you have enough signatories on the bank mandate)</w:t>
      </w:r>
    </w:p>
    <w:p w14:paraId="04D828E0"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t>Online banking</w:t>
      </w:r>
    </w:p>
    <w:p w14:paraId="73A4C7AE" w14:textId="77777777" w:rsidR="0042189F" w:rsidRPr="00F34AAF" w:rsidRDefault="0042189F" w:rsidP="0042189F">
      <w:pPr>
        <w:spacing w:before="120" w:after="120"/>
        <w:rPr>
          <w:rFonts w:eastAsia="Times New Roman" w:cstheme="minorHAnsi"/>
          <w:lang w:eastAsia="en-GB"/>
        </w:rPr>
      </w:pPr>
      <w:r>
        <w:rPr>
          <w:rFonts w:eastAsia="Times New Roman" w:cstheme="minorHAnsi"/>
          <w:lang w:eastAsia="en-GB"/>
        </w:rPr>
        <w:t>The PCC will maintain a</w:t>
      </w:r>
      <w:r w:rsidR="00B12C78">
        <w:rPr>
          <w:rFonts w:eastAsia="Times New Roman" w:cstheme="minorHAnsi"/>
          <w:lang w:eastAsia="en-GB"/>
        </w:rPr>
        <w:t xml:space="preserve"> proper charity</w:t>
      </w:r>
      <w:r>
        <w:rPr>
          <w:rFonts w:eastAsia="Times New Roman" w:cstheme="minorHAnsi"/>
          <w:lang w:eastAsia="en-GB"/>
        </w:rPr>
        <w:t xml:space="preserve"> bank account using approved software that requires a minimum of two online signatories to authorise every transaction.</w:t>
      </w:r>
      <w:r w:rsidR="00B12C78">
        <w:rPr>
          <w:rFonts w:eastAsia="Times New Roman" w:cstheme="minorHAnsi"/>
          <w:lang w:eastAsia="en-GB"/>
        </w:rPr>
        <w:t xml:space="preserve"> The use of personal banking software requiring only one authoriser is </w:t>
      </w:r>
      <w:r w:rsidR="00FE3B51">
        <w:rPr>
          <w:rFonts w:eastAsia="Times New Roman" w:cstheme="minorHAnsi"/>
          <w:lang w:eastAsia="en-GB"/>
        </w:rPr>
        <w:t>NOT</w:t>
      </w:r>
      <w:r w:rsidR="00B12C78">
        <w:rPr>
          <w:rFonts w:eastAsia="Times New Roman" w:cstheme="minorHAnsi"/>
          <w:lang w:eastAsia="en-GB"/>
        </w:rPr>
        <w:t xml:space="preserve"> permitted</w:t>
      </w:r>
      <w:r w:rsidR="00FE3B51">
        <w:rPr>
          <w:rFonts w:eastAsia="Times New Roman" w:cstheme="minorHAnsi"/>
          <w:lang w:eastAsia="en-GB"/>
        </w:rPr>
        <w:t xml:space="preserve"> </w:t>
      </w:r>
      <w:r w:rsidR="00FE3B51">
        <w:rPr>
          <w:rFonts w:eastAsia="Times New Roman" w:cstheme="minorHAnsi"/>
          <w:i/>
          <w:lang w:eastAsia="en-GB"/>
        </w:rPr>
        <w:t>(confirm with your bank or your Treasurer which type of account is being used)</w:t>
      </w:r>
      <w:r w:rsidR="00B12C78">
        <w:rPr>
          <w:rFonts w:eastAsia="Times New Roman" w:cstheme="minorHAnsi"/>
          <w:lang w:eastAsia="en-GB"/>
        </w:rPr>
        <w:t>.</w:t>
      </w:r>
    </w:p>
    <w:p w14:paraId="138D41CB" w14:textId="77777777" w:rsidR="0042189F" w:rsidRPr="00F34AAF" w:rsidRDefault="0042189F" w:rsidP="0042189F">
      <w:pPr>
        <w:spacing w:before="120" w:after="120"/>
        <w:rPr>
          <w:rFonts w:eastAsia="Times New Roman" w:cstheme="minorHAnsi"/>
          <w:b/>
          <w:color w:val="4472C4" w:themeColor="accent5"/>
          <w:sz w:val="28"/>
          <w:szCs w:val="28"/>
          <w:lang w:eastAsia="en-GB"/>
        </w:rPr>
      </w:pPr>
      <w:r w:rsidRPr="00F34AAF">
        <w:rPr>
          <w:rFonts w:eastAsia="Times New Roman" w:cstheme="minorHAnsi"/>
          <w:b/>
          <w:color w:val="4472C4" w:themeColor="accent5"/>
          <w:sz w:val="28"/>
          <w:szCs w:val="28"/>
          <w:lang w:eastAsia="en-GB"/>
        </w:rPr>
        <w:t>Other rules</w:t>
      </w:r>
    </w:p>
    <w:p w14:paraId="2D21CBA9" w14:textId="77777777" w:rsidR="0042189F" w:rsidRPr="008D2211" w:rsidRDefault="0042189F" w:rsidP="0042189F">
      <w:pPr>
        <w:pStyle w:val="ListParagraph"/>
        <w:numPr>
          <w:ilvl w:val="1"/>
          <w:numId w:val="38"/>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 xml:space="preserve">The PCC does not accept liability for any financial commitment unless properly authorised. Any orders placed, or undertakings given, which are likely to cost the PCC </w:t>
      </w:r>
      <w:proofErr w:type="gramStart"/>
      <w:r w:rsidRPr="008D2211">
        <w:rPr>
          <w:rFonts w:eastAsia="Times New Roman" w:cstheme="minorHAnsi"/>
          <w:lang w:eastAsia="en-GB"/>
        </w:rPr>
        <w:t>in excess of</w:t>
      </w:r>
      <w:proofErr w:type="gramEnd"/>
      <w:r w:rsidRPr="008D2211">
        <w:rPr>
          <w:rFonts w:eastAsia="Times New Roman" w:cstheme="minorHAnsi"/>
          <w:lang w:eastAsia="en-GB"/>
        </w:rPr>
        <w:t xml:space="preserve"> £ </w:t>
      </w:r>
      <w:r w:rsidRPr="008D2211">
        <w:rPr>
          <w:rFonts w:eastAsia="Times New Roman" w:cstheme="minorHAnsi"/>
          <w:i/>
          <w:lang w:eastAsia="en-GB"/>
        </w:rPr>
        <w:t>(put your amount of money here)</w:t>
      </w:r>
      <w:r w:rsidRPr="008D2211">
        <w:rPr>
          <w:rFonts w:eastAsia="Times New Roman" w:cstheme="minorHAnsi"/>
          <w:lang w:eastAsia="en-GB"/>
        </w:rPr>
        <w:t xml:space="preserve"> must be authorised and </w:t>
      </w:r>
      <w:proofErr w:type="spellStart"/>
      <w:r w:rsidRPr="008D2211">
        <w:rPr>
          <w:rFonts w:eastAsia="Times New Roman" w:cstheme="minorHAnsi"/>
          <w:lang w:eastAsia="en-GB"/>
        </w:rPr>
        <w:t>minuted</w:t>
      </w:r>
      <w:proofErr w:type="spellEnd"/>
      <w:r w:rsidRPr="008D2211">
        <w:rPr>
          <w:rFonts w:eastAsia="Times New Roman" w:cstheme="minorHAnsi"/>
          <w:lang w:eastAsia="en-GB"/>
        </w:rPr>
        <w:t xml:space="preserve"> by the PCC.</w:t>
      </w:r>
    </w:p>
    <w:p w14:paraId="048ECDBE" w14:textId="77777777" w:rsidR="0042189F" w:rsidRPr="008D2211" w:rsidRDefault="0042189F" w:rsidP="0042189F">
      <w:pPr>
        <w:pStyle w:val="ListParagraph"/>
        <w:numPr>
          <w:ilvl w:val="1"/>
          <w:numId w:val="38"/>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In exceptional circumstances such undertakings can be made with the Standing Committee’s approval who will then provide full details to the next meeting of the PCC. (This covers such items as the new service contracts, office equipment, purchase and hire).</w:t>
      </w:r>
    </w:p>
    <w:p w14:paraId="7577A01A" w14:textId="77777777" w:rsidR="0042189F" w:rsidRPr="008D2211" w:rsidRDefault="0042189F" w:rsidP="0042189F">
      <w:pPr>
        <w:pStyle w:val="ListParagraph"/>
        <w:numPr>
          <w:ilvl w:val="1"/>
          <w:numId w:val="38"/>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All fundraising and grant applications undertaken on behalf of the PCC will be done in the name of the PCC and, with the prior approval of the Members or, in urgent situations the approval of the Standing Committee who will provide full details to the next PCC meeting.</w:t>
      </w:r>
    </w:p>
    <w:p w14:paraId="0945FA7D" w14:textId="77777777" w:rsidR="0042189F" w:rsidRPr="008D2211" w:rsidRDefault="0042189F" w:rsidP="0042189F">
      <w:pPr>
        <w:pStyle w:val="ListParagraph"/>
        <w:numPr>
          <w:ilvl w:val="1"/>
          <w:numId w:val="38"/>
        </w:numPr>
        <w:spacing w:before="120" w:after="120"/>
        <w:ind w:left="357" w:hanging="357"/>
        <w:contextualSpacing w:val="0"/>
        <w:rPr>
          <w:rFonts w:eastAsia="Times New Roman" w:cstheme="minorHAnsi"/>
          <w:lang w:eastAsia="en-GB"/>
        </w:rPr>
      </w:pPr>
      <w:r w:rsidRPr="008D2211">
        <w:rPr>
          <w:rFonts w:eastAsia="Times New Roman" w:cstheme="minorHAnsi"/>
          <w:lang w:eastAsia="en-GB"/>
        </w:rPr>
        <w:t xml:space="preserve">The PCC will </w:t>
      </w:r>
      <w:proofErr w:type="gramStart"/>
      <w:r w:rsidRPr="008D2211">
        <w:rPr>
          <w:rFonts w:eastAsia="Times New Roman" w:cstheme="minorHAnsi"/>
          <w:lang w:eastAsia="en-GB"/>
        </w:rPr>
        <w:t>adhere to good practice in relation to its finances at all times</w:t>
      </w:r>
      <w:proofErr w:type="gramEnd"/>
      <w:r w:rsidRPr="008D2211">
        <w:rPr>
          <w:rFonts w:eastAsia="Times New Roman" w:cstheme="minorHAnsi"/>
          <w:lang w:eastAsia="en-GB"/>
        </w:rPr>
        <w:t>, e.g. when relevant it will set up and maintain a fixed asset register stating the date of purchase, cost, serial numbers and normal location of assets.</w:t>
      </w:r>
    </w:p>
    <w:p w14:paraId="5CA73665" w14:textId="77777777" w:rsidR="0042189F" w:rsidRPr="00F34AAF" w:rsidRDefault="0042189F" w:rsidP="0042189F">
      <w:pPr>
        <w:spacing w:before="120" w:after="120"/>
        <w:ind w:left="426" w:hanging="142"/>
        <w:rPr>
          <w:rFonts w:eastAsia="Times New Roman" w:cstheme="minorHAnsi"/>
          <w:lang w:eastAsia="en-GB"/>
        </w:rPr>
      </w:pPr>
      <w:r>
        <w:rPr>
          <w:rFonts w:eastAsia="Times New Roman" w:cstheme="minorHAnsi"/>
          <w:lang w:eastAsia="en-GB"/>
        </w:rPr>
        <w:t xml:space="preserve">  </w:t>
      </w:r>
      <w:r w:rsidRPr="00F34AAF">
        <w:rPr>
          <w:rFonts w:eastAsia="Times New Roman" w:cstheme="minorHAnsi"/>
          <w:lang w:eastAsia="en-GB"/>
        </w:rPr>
        <w:t>Additionally, the PCC will maintain a property record of items of significant value, with an appropriate record of their use.</w:t>
      </w:r>
    </w:p>
    <w:p w14:paraId="15DEA83F" w14:textId="77777777" w:rsidR="0042189F" w:rsidRPr="00F34AAF" w:rsidRDefault="0042189F" w:rsidP="0042189F">
      <w:pPr>
        <w:spacing w:before="120" w:after="120"/>
        <w:rPr>
          <w:rFonts w:cstheme="minorHAnsi"/>
        </w:rPr>
      </w:pPr>
    </w:p>
    <w:p w14:paraId="19E92D6A" w14:textId="77777777" w:rsidR="00B12C78" w:rsidRPr="009036FD" w:rsidRDefault="00B12C78" w:rsidP="00B12C78">
      <w:pPr>
        <w:rPr>
          <w:noProof/>
        </w:rPr>
      </w:pPr>
      <w:r w:rsidRPr="009036FD">
        <w:rPr>
          <w:noProof/>
        </w:rPr>
        <w:t>Approved by the PCC and signed on its behalf ……………………………………</w:t>
      </w:r>
    </w:p>
    <w:p w14:paraId="217FFBA6" w14:textId="77777777" w:rsidR="00B12C78" w:rsidRPr="009036FD" w:rsidRDefault="00B12C78" w:rsidP="00B12C78">
      <w:pPr>
        <w:rPr>
          <w:noProof/>
        </w:rPr>
      </w:pPr>
    </w:p>
    <w:p w14:paraId="45E5D55D" w14:textId="77777777" w:rsidR="00B12C78" w:rsidRPr="009036FD" w:rsidRDefault="00B12C78" w:rsidP="00B12C78">
      <w:pPr>
        <w:rPr>
          <w:noProof/>
        </w:rPr>
      </w:pPr>
      <w:r w:rsidRPr="009036FD">
        <w:rPr>
          <w:noProof/>
        </w:rPr>
        <w:t xml:space="preserve">Date ……………………….. </w:t>
      </w:r>
    </w:p>
    <w:p w14:paraId="1D372442" w14:textId="77777777" w:rsidR="00B12C78" w:rsidRPr="009036FD" w:rsidRDefault="00B12C78" w:rsidP="00B12C78">
      <w:pPr>
        <w:rPr>
          <w:noProof/>
        </w:rPr>
      </w:pPr>
    </w:p>
    <w:p w14:paraId="6776B8CA" w14:textId="77777777" w:rsidR="00B12C78" w:rsidRPr="009036FD" w:rsidRDefault="00B12C78" w:rsidP="00B12C78">
      <w:pPr>
        <w:rPr>
          <w:noProof/>
        </w:rPr>
      </w:pPr>
      <w:r w:rsidRPr="009036FD">
        <w:rPr>
          <w:noProof/>
        </w:rPr>
        <w:t>Next date to be reviewed ………………………</w:t>
      </w:r>
    </w:p>
    <w:p w14:paraId="509BFBCB" w14:textId="77777777" w:rsidR="00363640" w:rsidRDefault="00363640" w:rsidP="00363640"/>
    <w:sectPr w:rsidR="00363640" w:rsidSect="006C37CA">
      <w:headerReference w:type="default" r:id="rId12"/>
      <w:pgSz w:w="11906" w:h="16838"/>
      <w:pgMar w:top="680" w:right="454" w:bottom="680" w:left="79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830B" w14:textId="77777777" w:rsidR="00CC5673" w:rsidRDefault="00CC5673" w:rsidP="006C37CA">
      <w:pPr>
        <w:spacing w:after="0" w:line="240" w:lineRule="auto"/>
      </w:pPr>
      <w:r>
        <w:separator/>
      </w:r>
    </w:p>
  </w:endnote>
  <w:endnote w:type="continuationSeparator" w:id="0">
    <w:p w14:paraId="3F79E493" w14:textId="77777777" w:rsidR="00CC5673" w:rsidRDefault="00CC5673" w:rsidP="006C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818B" w14:textId="77777777" w:rsidR="00CC5673" w:rsidRDefault="00CC5673" w:rsidP="006C37CA">
      <w:pPr>
        <w:spacing w:after="0" w:line="240" w:lineRule="auto"/>
      </w:pPr>
      <w:r>
        <w:separator/>
      </w:r>
    </w:p>
  </w:footnote>
  <w:footnote w:type="continuationSeparator" w:id="0">
    <w:p w14:paraId="19A3DEE9" w14:textId="77777777" w:rsidR="00CC5673" w:rsidRDefault="00CC5673" w:rsidP="006C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2E316A1" w14:textId="57149700" w:rsidR="006C37CA" w:rsidRDefault="00D21E65" w:rsidP="006C37CA">
        <w:pPr>
          <w:pStyle w:val="Default"/>
          <w:rPr>
            <w:sz w:val="20"/>
            <w:szCs w:val="20"/>
          </w:rPr>
        </w:pPr>
        <w:r>
          <w:rPr>
            <w:sz w:val="20"/>
            <w:szCs w:val="20"/>
          </w:rPr>
          <w:t xml:space="preserve">Current Policy Date: </w:t>
        </w:r>
        <w:r w:rsidR="006C37CA">
          <w:rPr>
            <w:sz w:val="20"/>
            <w:szCs w:val="20"/>
          </w:rPr>
          <w:t xml:space="preserve"> </w:t>
        </w:r>
        <w:r w:rsidR="006C37CA">
          <w:rPr>
            <w:sz w:val="20"/>
            <w:szCs w:val="20"/>
          </w:rPr>
          <w:tab/>
        </w:r>
        <w:r w:rsidR="006C37CA">
          <w:rPr>
            <w:sz w:val="20"/>
            <w:szCs w:val="20"/>
          </w:rPr>
          <w:tab/>
        </w:r>
        <w:r w:rsidR="006C37CA">
          <w:rPr>
            <w:sz w:val="20"/>
            <w:szCs w:val="20"/>
          </w:rPr>
          <w:tab/>
          <w:t xml:space="preserve">Review: Every </w:t>
        </w:r>
        <w:r w:rsidR="00363640">
          <w:rPr>
            <w:sz w:val="20"/>
            <w:szCs w:val="20"/>
          </w:rPr>
          <w:t xml:space="preserve">x </w:t>
        </w:r>
        <w:r w:rsidR="006C37CA">
          <w:rPr>
            <w:sz w:val="20"/>
            <w:szCs w:val="20"/>
          </w:rPr>
          <w:t xml:space="preserve">years </w:t>
        </w:r>
        <w:r>
          <w:rPr>
            <w:sz w:val="20"/>
            <w:szCs w:val="20"/>
          </w:rPr>
          <w:tab/>
        </w:r>
        <w:r>
          <w:rPr>
            <w:sz w:val="20"/>
            <w:szCs w:val="20"/>
          </w:rPr>
          <w:tab/>
        </w:r>
        <w:r>
          <w:rPr>
            <w:sz w:val="20"/>
            <w:szCs w:val="20"/>
          </w:rPr>
          <w:tab/>
          <w:t xml:space="preserve">Date of Next Review: </w:t>
        </w:r>
      </w:p>
      <w:p w14:paraId="6CE8006B" w14:textId="19EB515F" w:rsidR="00363640" w:rsidRDefault="003A0E51" w:rsidP="006C37CA">
        <w:pPr>
          <w:pStyle w:val="Default"/>
          <w:rPr>
            <w:rFonts w:cstheme="minorBidi"/>
            <w:b/>
            <w:color w:val="auto"/>
          </w:rPr>
        </w:pPr>
        <w:r w:rsidRPr="003A0E51">
          <w:rPr>
            <w:rFonts w:cstheme="minorBidi"/>
            <w:b/>
            <w:color w:val="2E74B5" w:themeColor="accent1" w:themeShade="BF"/>
          </w:rPr>
          <w:t xml:space="preserve">St </w:t>
        </w:r>
        <w:r w:rsidR="00A96233">
          <w:rPr>
            <w:rFonts w:cstheme="minorBidi"/>
            <w:b/>
            <w:color w:val="2E74B5" w:themeColor="accent1" w:themeShade="BF"/>
          </w:rPr>
          <w:t xml:space="preserve">XX </w:t>
        </w:r>
        <w:proofErr w:type="spellStart"/>
        <w:r w:rsidR="00A96233">
          <w:rPr>
            <w:rFonts w:cstheme="minorBidi"/>
            <w:b/>
            <w:color w:val="2E74B5" w:themeColor="accent1" w:themeShade="BF"/>
          </w:rPr>
          <w:t>XX</w:t>
        </w:r>
        <w:proofErr w:type="spellEnd"/>
      </w:p>
      <w:p w14:paraId="1B64F239" w14:textId="77777777" w:rsidR="00130232" w:rsidRPr="00363640" w:rsidRDefault="00A70846" w:rsidP="006C37CA">
        <w:pPr>
          <w:pStyle w:val="Default"/>
          <w:rPr>
            <w:rFonts w:cstheme="minorBidi"/>
            <w:b/>
            <w:color w:val="auto"/>
          </w:rPr>
        </w:pPr>
        <w:r>
          <w:rPr>
            <w:rFonts w:cstheme="minorBidi"/>
            <w:b/>
            <w:color w:val="2E74B5" w:themeColor="accent1" w:themeShade="BF"/>
            <w:sz w:val="36"/>
            <w:szCs w:val="36"/>
          </w:rPr>
          <w:t>Financial records and accounts</w:t>
        </w:r>
        <w:r w:rsidR="006C37CA">
          <w:t xml:space="preserve">     </w:t>
        </w:r>
        <w:r w:rsidR="006C37CA" w:rsidRPr="006C37CA">
          <w:rPr>
            <w:sz w:val="20"/>
            <w:szCs w:val="20"/>
          </w:rPr>
          <w:t xml:space="preserve">Page </w:t>
        </w:r>
        <w:r w:rsidR="006C37CA" w:rsidRPr="006C37CA">
          <w:rPr>
            <w:b/>
            <w:bCs/>
            <w:sz w:val="20"/>
            <w:szCs w:val="20"/>
          </w:rPr>
          <w:fldChar w:fldCharType="begin"/>
        </w:r>
        <w:r w:rsidR="006C37CA" w:rsidRPr="006C37CA">
          <w:rPr>
            <w:b/>
            <w:bCs/>
            <w:sz w:val="20"/>
            <w:szCs w:val="20"/>
          </w:rPr>
          <w:instrText xml:space="preserve"> PAGE </w:instrText>
        </w:r>
        <w:r w:rsidR="006C37CA" w:rsidRPr="006C37CA">
          <w:rPr>
            <w:b/>
            <w:bCs/>
            <w:sz w:val="20"/>
            <w:szCs w:val="20"/>
          </w:rPr>
          <w:fldChar w:fldCharType="separate"/>
        </w:r>
        <w:r w:rsidR="00881A6E">
          <w:rPr>
            <w:b/>
            <w:bCs/>
            <w:noProof/>
            <w:sz w:val="20"/>
            <w:szCs w:val="20"/>
          </w:rPr>
          <w:t>1</w:t>
        </w:r>
        <w:r w:rsidR="006C37CA" w:rsidRPr="006C37CA">
          <w:rPr>
            <w:b/>
            <w:bCs/>
            <w:sz w:val="20"/>
            <w:szCs w:val="20"/>
          </w:rPr>
          <w:fldChar w:fldCharType="end"/>
        </w:r>
        <w:r w:rsidR="006C37CA" w:rsidRPr="006C37CA">
          <w:rPr>
            <w:sz w:val="20"/>
            <w:szCs w:val="20"/>
          </w:rPr>
          <w:t xml:space="preserve"> of </w:t>
        </w:r>
        <w:r w:rsidR="006C37CA" w:rsidRPr="006C37CA">
          <w:rPr>
            <w:b/>
            <w:bCs/>
            <w:sz w:val="20"/>
            <w:szCs w:val="20"/>
          </w:rPr>
          <w:fldChar w:fldCharType="begin"/>
        </w:r>
        <w:r w:rsidR="006C37CA" w:rsidRPr="006C37CA">
          <w:rPr>
            <w:b/>
            <w:bCs/>
            <w:sz w:val="20"/>
            <w:szCs w:val="20"/>
          </w:rPr>
          <w:instrText xml:space="preserve"> NUMPAGES  </w:instrText>
        </w:r>
        <w:r w:rsidR="006C37CA" w:rsidRPr="006C37CA">
          <w:rPr>
            <w:b/>
            <w:bCs/>
            <w:sz w:val="20"/>
            <w:szCs w:val="20"/>
          </w:rPr>
          <w:fldChar w:fldCharType="separate"/>
        </w:r>
        <w:r w:rsidR="00881A6E">
          <w:rPr>
            <w:b/>
            <w:bCs/>
            <w:noProof/>
            <w:sz w:val="20"/>
            <w:szCs w:val="20"/>
          </w:rPr>
          <w:t>1</w:t>
        </w:r>
        <w:r w:rsidR="006C37CA" w:rsidRPr="006C37CA">
          <w:rPr>
            <w:b/>
            <w:bCs/>
            <w:sz w:val="20"/>
            <w:szCs w:val="20"/>
          </w:rPr>
          <w:fldChar w:fldCharType="end"/>
        </w:r>
      </w:p>
      <w:p w14:paraId="0AAD372C" w14:textId="77777777" w:rsidR="006C37CA" w:rsidRDefault="00000000" w:rsidP="006C37CA">
        <w:pPr>
          <w:pStyle w:val="Default"/>
        </w:pPr>
      </w:p>
    </w:sdtContent>
  </w:sdt>
  <w:p w14:paraId="322A4AE2" w14:textId="77777777" w:rsidR="006C37CA" w:rsidRDefault="006C3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53"/>
    <w:multiLevelType w:val="hybridMultilevel"/>
    <w:tmpl w:val="4DBCB1C2"/>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B0229"/>
    <w:multiLevelType w:val="hybridMultilevel"/>
    <w:tmpl w:val="B6FA1658"/>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3A3D96"/>
    <w:multiLevelType w:val="hybridMultilevel"/>
    <w:tmpl w:val="AD1CB9C6"/>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E5BD9"/>
    <w:multiLevelType w:val="hybridMultilevel"/>
    <w:tmpl w:val="24A09AFC"/>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A19CE"/>
    <w:multiLevelType w:val="hybridMultilevel"/>
    <w:tmpl w:val="70A6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0374B"/>
    <w:multiLevelType w:val="hybridMultilevel"/>
    <w:tmpl w:val="EDF0965E"/>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A7372"/>
    <w:multiLevelType w:val="hybridMultilevel"/>
    <w:tmpl w:val="658AE0D8"/>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B67597"/>
    <w:multiLevelType w:val="hybridMultilevel"/>
    <w:tmpl w:val="C20240C0"/>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0A704D"/>
    <w:multiLevelType w:val="hybridMultilevel"/>
    <w:tmpl w:val="2FF66084"/>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A0B95"/>
    <w:multiLevelType w:val="hybridMultilevel"/>
    <w:tmpl w:val="EDCAED46"/>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801AA"/>
    <w:multiLevelType w:val="hybridMultilevel"/>
    <w:tmpl w:val="161A675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2A54B4"/>
    <w:multiLevelType w:val="hybridMultilevel"/>
    <w:tmpl w:val="7ADA95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956DA"/>
    <w:multiLevelType w:val="hybridMultilevel"/>
    <w:tmpl w:val="884E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36DA3"/>
    <w:multiLevelType w:val="hybridMultilevel"/>
    <w:tmpl w:val="B03EED82"/>
    <w:lvl w:ilvl="0" w:tplc="C930E8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27B63"/>
    <w:multiLevelType w:val="hybridMultilevel"/>
    <w:tmpl w:val="C51C40BC"/>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415CF6"/>
    <w:multiLevelType w:val="hybridMultilevel"/>
    <w:tmpl w:val="3CE6A55E"/>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771E4F"/>
    <w:multiLevelType w:val="hybridMultilevel"/>
    <w:tmpl w:val="C6065636"/>
    <w:lvl w:ilvl="0" w:tplc="0809000F">
      <w:start w:val="1"/>
      <w:numFmt w:val="decimal"/>
      <w:lvlText w:val="%1."/>
      <w:lvlJc w:val="left"/>
      <w:pPr>
        <w:ind w:left="720" w:hanging="360"/>
      </w:pPr>
    </w:lvl>
    <w:lvl w:ilvl="1" w:tplc="CD223AF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606A36"/>
    <w:multiLevelType w:val="hybridMultilevel"/>
    <w:tmpl w:val="B63824F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88458B"/>
    <w:multiLevelType w:val="hybridMultilevel"/>
    <w:tmpl w:val="40960C22"/>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8D5AF8"/>
    <w:multiLevelType w:val="hybridMultilevel"/>
    <w:tmpl w:val="2C0073DC"/>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82ED3"/>
    <w:multiLevelType w:val="hybridMultilevel"/>
    <w:tmpl w:val="0D304FD8"/>
    <w:lvl w:ilvl="0" w:tplc="08090001">
      <w:start w:val="1"/>
      <w:numFmt w:val="bullet"/>
      <w:lvlText w:val=""/>
      <w:lvlJc w:val="left"/>
      <w:pPr>
        <w:ind w:left="717" w:hanging="360"/>
      </w:pPr>
      <w:rPr>
        <w:rFonts w:ascii="Symbol" w:hAnsi="Symbol" w:hint="default"/>
      </w:rPr>
    </w:lvl>
    <w:lvl w:ilvl="1" w:tplc="CD223AF2">
      <w:start w:val="1"/>
      <w:numFmt w:val="decimal"/>
      <w:lvlText w:val="%2)"/>
      <w:lvlJc w:val="left"/>
      <w:pPr>
        <w:ind w:left="1437" w:hanging="36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42672B08"/>
    <w:multiLevelType w:val="hybridMultilevel"/>
    <w:tmpl w:val="853CB160"/>
    <w:lvl w:ilvl="0" w:tplc="0C847356">
      <w:numFmt w:val="bullet"/>
      <w:lvlText w:val="•"/>
      <w:lvlJc w:val="left"/>
      <w:pPr>
        <w:ind w:left="360" w:hanging="360"/>
      </w:pPr>
      <w:rPr>
        <w:rFonts w:ascii="Arial" w:eastAsiaTheme="minorHAnsi" w:hAnsi="Arial" w:cs="Arial" w:hint="default"/>
      </w:rPr>
    </w:lvl>
    <w:lvl w:ilvl="1" w:tplc="61CC3418">
      <w:numFmt w:val="bullet"/>
      <w:lvlText w:val=""/>
      <w:lvlJc w:val="left"/>
      <w:pPr>
        <w:ind w:left="1080" w:hanging="360"/>
      </w:pPr>
      <w:rPr>
        <w:rFonts w:ascii="Calibri" w:eastAsiaTheme="minorHAns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0D4822"/>
    <w:multiLevelType w:val="hybridMultilevel"/>
    <w:tmpl w:val="57BE82B2"/>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26C38"/>
    <w:multiLevelType w:val="hybridMultilevel"/>
    <w:tmpl w:val="E35CD4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10706B"/>
    <w:multiLevelType w:val="hybridMultilevel"/>
    <w:tmpl w:val="F3E2AA40"/>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C54DD"/>
    <w:multiLevelType w:val="hybridMultilevel"/>
    <w:tmpl w:val="E684E5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86E61"/>
    <w:multiLevelType w:val="hybridMultilevel"/>
    <w:tmpl w:val="9110AA96"/>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976603"/>
    <w:multiLevelType w:val="hybridMultilevel"/>
    <w:tmpl w:val="A27023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B62C4"/>
    <w:multiLevelType w:val="hybridMultilevel"/>
    <w:tmpl w:val="94E0CAAA"/>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5E7C5B"/>
    <w:multiLevelType w:val="hybridMultilevel"/>
    <w:tmpl w:val="FD288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903FFC"/>
    <w:multiLevelType w:val="hybridMultilevel"/>
    <w:tmpl w:val="B226D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F5442"/>
    <w:multiLevelType w:val="hybridMultilevel"/>
    <w:tmpl w:val="4906F74A"/>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C113AC"/>
    <w:multiLevelType w:val="hybridMultilevel"/>
    <w:tmpl w:val="A0320F16"/>
    <w:lvl w:ilvl="0" w:tplc="0C8473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E13FF"/>
    <w:multiLevelType w:val="hybridMultilevel"/>
    <w:tmpl w:val="B0423F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D97F5D"/>
    <w:multiLevelType w:val="hybridMultilevel"/>
    <w:tmpl w:val="D3B08C0A"/>
    <w:lvl w:ilvl="0" w:tplc="0C847356">
      <w:numFmt w:val="bullet"/>
      <w:lvlText w:val="•"/>
      <w:lvlJc w:val="left"/>
      <w:pPr>
        <w:ind w:left="360" w:hanging="360"/>
      </w:pPr>
      <w:rPr>
        <w:rFonts w:ascii="Arial" w:eastAsiaTheme="minorHAnsi" w:hAnsi="Arial" w:cs="Arial" w:hint="default"/>
      </w:rPr>
    </w:lvl>
    <w:lvl w:ilvl="1" w:tplc="0C84735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A673AC"/>
    <w:multiLevelType w:val="hybridMultilevel"/>
    <w:tmpl w:val="74F65DDE"/>
    <w:lvl w:ilvl="0" w:tplc="0809000F">
      <w:start w:val="1"/>
      <w:numFmt w:val="decimal"/>
      <w:lvlText w:val="%1."/>
      <w:lvlJc w:val="left"/>
      <w:pPr>
        <w:ind w:left="360" w:hanging="360"/>
      </w:pPr>
    </w:lvl>
    <w:lvl w:ilvl="1" w:tplc="CD223A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2D07B2"/>
    <w:multiLevelType w:val="hybridMultilevel"/>
    <w:tmpl w:val="E30AAFF8"/>
    <w:lvl w:ilvl="0" w:tplc="0C84735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766CB7"/>
    <w:multiLevelType w:val="hybridMultilevel"/>
    <w:tmpl w:val="0FEE9372"/>
    <w:lvl w:ilvl="0" w:tplc="0C8473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373179">
    <w:abstractNumId w:val="3"/>
  </w:num>
  <w:num w:numId="2" w16cid:durableId="1263302698">
    <w:abstractNumId w:val="21"/>
  </w:num>
  <w:num w:numId="3" w16cid:durableId="1416395757">
    <w:abstractNumId w:val="6"/>
  </w:num>
  <w:num w:numId="4" w16cid:durableId="1870141142">
    <w:abstractNumId w:val="2"/>
  </w:num>
  <w:num w:numId="5" w16cid:durableId="259262641">
    <w:abstractNumId w:val="36"/>
  </w:num>
  <w:num w:numId="6" w16cid:durableId="1499423489">
    <w:abstractNumId w:val="26"/>
  </w:num>
  <w:num w:numId="7" w16cid:durableId="1604266430">
    <w:abstractNumId w:val="34"/>
  </w:num>
  <w:num w:numId="8" w16cid:durableId="2020503247">
    <w:abstractNumId w:val="19"/>
  </w:num>
  <w:num w:numId="9" w16cid:durableId="147984561">
    <w:abstractNumId w:val="28"/>
  </w:num>
  <w:num w:numId="10" w16cid:durableId="1620338382">
    <w:abstractNumId w:val="15"/>
  </w:num>
  <w:num w:numId="11" w16cid:durableId="895163644">
    <w:abstractNumId w:val="18"/>
  </w:num>
  <w:num w:numId="12" w16cid:durableId="751708438">
    <w:abstractNumId w:val="37"/>
  </w:num>
  <w:num w:numId="13" w16cid:durableId="240068513">
    <w:abstractNumId w:val="9"/>
  </w:num>
  <w:num w:numId="14" w16cid:durableId="1602638596">
    <w:abstractNumId w:val="7"/>
  </w:num>
  <w:num w:numId="15" w16cid:durableId="1832259017">
    <w:abstractNumId w:val="14"/>
  </w:num>
  <w:num w:numId="16" w16cid:durableId="865482707">
    <w:abstractNumId w:val="8"/>
  </w:num>
  <w:num w:numId="17" w16cid:durableId="1175996413">
    <w:abstractNumId w:val="5"/>
  </w:num>
  <w:num w:numId="18" w16cid:durableId="853685949">
    <w:abstractNumId w:val="25"/>
  </w:num>
  <w:num w:numId="19" w16cid:durableId="591936160">
    <w:abstractNumId w:val="23"/>
  </w:num>
  <w:num w:numId="20" w16cid:durableId="943415890">
    <w:abstractNumId w:val="31"/>
  </w:num>
  <w:num w:numId="21" w16cid:durableId="1009406269">
    <w:abstractNumId w:val="22"/>
  </w:num>
  <w:num w:numId="22" w16cid:durableId="1253197696">
    <w:abstractNumId w:val="33"/>
  </w:num>
  <w:num w:numId="23" w16cid:durableId="1356425613">
    <w:abstractNumId w:val="24"/>
  </w:num>
  <w:num w:numId="24" w16cid:durableId="1050804343">
    <w:abstractNumId w:val="0"/>
  </w:num>
  <w:num w:numId="25" w16cid:durableId="2141796368">
    <w:abstractNumId w:val="32"/>
  </w:num>
  <w:num w:numId="26" w16cid:durableId="1760321752">
    <w:abstractNumId w:val="1"/>
  </w:num>
  <w:num w:numId="27" w16cid:durableId="1458452285">
    <w:abstractNumId w:val="30"/>
  </w:num>
  <w:num w:numId="28" w16cid:durableId="808134758">
    <w:abstractNumId w:val="13"/>
  </w:num>
  <w:num w:numId="29" w16cid:durableId="1738741938">
    <w:abstractNumId w:val="17"/>
  </w:num>
  <w:num w:numId="30" w16cid:durableId="1769422372">
    <w:abstractNumId w:val="12"/>
  </w:num>
  <w:num w:numId="31" w16cid:durableId="669020509">
    <w:abstractNumId w:val="4"/>
  </w:num>
  <w:num w:numId="32" w16cid:durableId="1825506458">
    <w:abstractNumId w:val="16"/>
  </w:num>
  <w:num w:numId="33" w16cid:durableId="1980918067">
    <w:abstractNumId w:val="29"/>
  </w:num>
  <w:num w:numId="34" w16cid:durableId="1471288526">
    <w:abstractNumId w:val="10"/>
  </w:num>
  <w:num w:numId="35" w16cid:durableId="1397389808">
    <w:abstractNumId w:val="35"/>
  </w:num>
  <w:num w:numId="36" w16cid:durableId="1903053684">
    <w:abstractNumId w:val="27"/>
  </w:num>
  <w:num w:numId="37" w16cid:durableId="1875076345">
    <w:abstractNumId w:val="20"/>
  </w:num>
  <w:num w:numId="38" w16cid:durableId="131008998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DB"/>
    <w:rsid w:val="000D1A89"/>
    <w:rsid w:val="00130232"/>
    <w:rsid w:val="00156165"/>
    <w:rsid w:val="00173B83"/>
    <w:rsid w:val="00176A01"/>
    <w:rsid w:val="001B1899"/>
    <w:rsid w:val="00201B6E"/>
    <w:rsid w:val="00215190"/>
    <w:rsid w:val="00253364"/>
    <w:rsid w:val="00282295"/>
    <w:rsid w:val="00363640"/>
    <w:rsid w:val="00382DE6"/>
    <w:rsid w:val="00394E83"/>
    <w:rsid w:val="003A0E51"/>
    <w:rsid w:val="0042189F"/>
    <w:rsid w:val="00535E44"/>
    <w:rsid w:val="00563195"/>
    <w:rsid w:val="00577B92"/>
    <w:rsid w:val="0058784C"/>
    <w:rsid w:val="005D2413"/>
    <w:rsid w:val="00624587"/>
    <w:rsid w:val="006653E9"/>
    <w:rsid w:val="006C37CA"/>
    <w:rsid w:val="006E7CEF"/>
    <w:rsid w:val="00860AE0"/>
    <w:rsid w:val="00862AAD"/>
    <w:rsid w:val="00881A6E"/>
    <w:rsid w:val="008E01C6"/>
    <w:rsid w:val="00910EC4"/>
    <w:rsid w:val="00927428"/>
    <w:rsid w:val="00930A4B"/>
    <w:rsid w:val="009D0419"/>
    <w:rsid w:val="00A2494B"/>
    <w:rsid w:val="00A70846"/>
    <w:rsid w:val="00A805AC"/>
    <w:rsid w:val="00A96233"/>
    <w:rsid w:val="00B12C78"/>
    <w:rsid w:val="00B151DB"/>
    <w:rsid w:val="00BB2EED"/>
    <w:rsid w:val="00BC5537"/>
    <w:rsid w:val="00BD6AA3"/>
    <w:rsid w:val="00BE5365"/>
    <w:rsid w:val="00C1364E"/>
    <w:rsid w:val="00C5202B"/>
    <w:rsid w:val="00C62D2B"/>
    <w:rsid w:val="00C71CA1"/>
    <w:rsid w:val="00CB377B"/>
    <w:rsid w:val="00CC5673"/>
    <w:rsid w:val="00CE122A"/>
    <w:rsid w:val="00D11578"/>
    <w:rsid w:val="00D21E65"/>
    <w:rsid w:val="00E753CF"/>
    <w:rsid w:val="00E83852"/>
    <w:rsid w:val="00F02444"/>
    <w:rsid w:val="00F238EB"/>
    <w:rsid w:val="00F348A9"/>
    <w:rsid w:val="00F66627"/>
    <w:rsid w:val="00F85399"/>
    <w:rsid w:val="00FE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78B6"/>
  <w15:chartTrackingRefBased/>
  <w15:docId w15:val="{6C230161-310C-47E3-B0F8-9121DB75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1D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C3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CA"/>
  </w:style>
  <w:style w:type="paragraph" w:styleId="Footer">
    <w:name w:val="footer"/>
    <w:basedOn w:val="Normal"/>
    <w:link w:val="FooterChar"/>
    <w:uiPriority w:val="99"/>
    <w:unhideWhenUsed/>
    <w:rsid w:val="006C3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CA"/>
  </w:style>
  <w:style w:type="paragraph" w:styleId="NoSpacing">
    <w:name w:val="No Spacing"/>
    <w:link w:val="NoSpacingChar"/>
    <w:uiPriority w:val="1"/>
    <w:qFormat/>
    <w:rsid w:val="006C37C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C37CA"/>
    <w:rPr>
      <w:rFonts w:eastAsiaTheme="minorEastAsia"/>
      <w:lang w:val="en-US"/>
    </w:rPr>
  </w:style>
  <w:style w:type="paragraph" w:styleId="ListParagraph">
    <w:name w:val="List Paragraph"/>
    <w:basedOn w:val="Normal"/>
    <w:uiPriority w:val="34"/>
    <w:qFormat/>
    <w:rsid w:val="006E7CEF"/>
    <w:pPr>
      <w:ind w:left="720"/>
      <w:contextualSpacing/>
    </w:pPr>
  </w:style>
  <w:style w:type="paragraph" w:styleId="NormalWeb">
    <w:name w:val="Normal (Web)"/>
    <w:basedOn w:val="Normal"/>
    <w:uiPriority w:val="99"/>
    <w:semiHidden/>
    <w:unhideWhenUsed/>
    <w:rsid w:val="003636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3aa713-3c76-4c1e-aaa2-c16add3956a2">
      <Terms xmlns="http://schemas.microsoft.com/office/infopath/2007/PartnerControls"/>
    </lcf76f155ced4ddcb4097134ff3c332f>
    <TaxCatchAll xmlns="ab48a1f6-5593-477e-b296-fbc2ab8a3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26DA72184144BB8F649589C167EA3" ma:contentTypeVersion="11" ma:contentTypeDescription="Create a new document." ma:contentTypeScope="" ma:versionID="5d135e6b224ac010090c01d0cffc3ad6">
  <xsd:schema xmlns:xsd="http://www.w3.org/2001/XMLSchema" xmlns:xs="http://www.w3.org/2001/XMLSchema" xmlns:p="http://schemas.microsoft.com/office/2006/metadata/properties" xmlns:ns2="c93aa713-3c76-4c1e-aaa2-c16add3956a2" xmlns:ns3="ab48a1f6-5593-477e-b296-fbc2ab8a395f" targetNamespace="http://schemas.microsoft.com/office/2006/metadata/properties" ma:root="true" ma:fieldsID="51841ba5ff4bd9e07c62bfd965507d83" ns2:_="" ns3:_="">
    <xsd:import namespace="c93aa713-3c76-4c1e-aaa2-c16add3956a2"/>
    <xsd:import namespace="ab48a1f6-5593-477e-b296-fbc2ab8a3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a713-3c76-4c1e-aaa2-c16add39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8a1f6-5593-477e-b296-fbc2ab8a3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688dc-54c4-47ce-ba9d-745d740d511c}" ma:internalName="TaxCatchAll" ma:showField="CatchAllData" ma:web="ab48a1f6-5593-477e-b296-fbc2ab8a3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F0DF5-EC70-4FA0-A7DA-6937DBA362E5}">
  <ds:schemaRefs>
    <ds:schemaRef ds:uri="http://schemas.microsoft.com/office/2006/metadata/properties"/>
    <ds:schemaRef ds:uri="http://schemas.microsoft.com/office/infopath/2007/PartnerControls"/>
    <ds:schemaRef ds:uri="c93aa713-3c76-4c1e-aaa2-c16add3956a2"/>
    <ds:schemaRef ds:uri="ab48a1f6-5593-477e-b296-fbc2ab8a395f"/>
  </ds:schemaRefs>
</ds:datastoreItem>
</file>

<file path=customXml/itemProps2.xml><?xml version="1.0" encoding="utf-8"?>
<ds:datastoreItem xmlns:ds="http://schemas.openxmlformats.org/officeDocument/2006/customXml" ds:itemID="{D1CE97AF-9C2E-4EA9-904D-31A6B32035CA}">
  <ds:schemaRefs>
    <ds:schemaRef ds:uri="http://schemas.microsoft.com/sharepoint/v3/contenttype/forms"/>
  </ds:schemaRefs>
</ds:datastoreItem>
</file>

<file path=customXml/itemProps3.xml><?xml version="1.0" encoding="utf-8"?>
<ds:datastoreItem xmlns:ds="http://schemas.openxmlformats.org/officeDocument/2006/customXml" ds:itemID="{6ACBFA50-D9BF-4222-AEA7-491013ED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a713-3c76-4c1e-aaa2-c16add3956a2"/>
    <ds:schemaRef ds:uri="ab48a1f6-5593-477e-b296-fbc2ab8a3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1189</Words>
  <Characters>5967</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Guidance for managing financial records and accounts</vt:lpstr>
    </vt:vector>
  </TitlesOfParts>
  <Company>The 4 Dioceses</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managing financial records and accounts</dc:title>
  <dc:subject/>
  <dc:creator>Name of PCC Member responsible for treasury functions</dc:creator>
  <cp:keywords/>
  <dc:description/>
  <cp:lastModifiedBy>Annie Rey</cp:lastModifiedBy>
  <cp:revision>5</cp:revision>
  <dcterms:created xsi:type="dcterms:W3CDTF">2025-03-24T12:42:00Z</dcterms:created>
  <dcterms:modified xsi:type="dcterms:W3CDTF">2025-11-14T10:35:00Z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0x01010016126DA72184144BB8F649589C167EA3</vt:lpwstr>
  </property>
</Properties>
</file>